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6B" w:rsidRPr="00967F24" w:rsidRDefault="006F566B" w:rsidP="006F566B">
      <w:pPr>
        <w:spacing w:after="0" w:line="240" w:lineRule="auto"/>
        <w:jc w:val="center"/>
        <w:rPr>
          <w:rFonts w:ascii="Verdana" w:hAnsi="Verdana" w:cs="Times New Roman"/>
          <w:b/>
          <w:noProof/>
          <w:sz w:val="20"/>
          <w:szCs w:val="20"/>
        </w:rPr>
      </w:pPr>
      <w:bookmarkStart w:id="0" w:name="_GoBack"/>
      <w:bookmarkEnd w:id="0"/>
      <w:r w:rsidRPr="00967F24">
        <w:rPr>
          <w:rFonts w:ascii="Verdana" w:hAnsi="Verdana" w:cs="Times New Roman"/>
          <w:b/>
          <w:sz w:val="20"/>
          <w:szCs w:val="20"/>
        </w:rPr>
        <w:t>§ 17</w:t>
      </w:r>
      <w:r w:rsidRPr="00967F24">
        <w:rPr>
          <w:rFonts w:ascii="Verdana" w:hAnsi="Verdana" w:cs="Times New Roman"/>
          <w:b/>
          <w:noProof/>
          <w:sz w:val="20"/>
          <w:szCs w:val="20"/>
        </w:rPr>
        <w:t xml:space="preserve"> </w:t>
      </w:r>
    </w:p>
    <w:p w:rsidR="006F566B" w:rsidRPr="00967F24" w:rsidRDefault="006F566B" w:rsidP="006F566B">
      <w:pPr>
        <w:spacing w:after="0" w:line="240" w:lineRule="auto"/>
        <w:jc w:val="center"/>
        <w:rPr>
          <w:rFonts w:ascii="Verdana" w:hAnsi="Verdana" w:cs="Times New Roman"/>
          <w:b/>
          <w:noProof/>
          <w:sz w:val="20"/>
          <w:szCs w:val="20"/>
        </w:rPr>
      </w:pPr>
      <w:r w:rsidRPr="00967F24">
        <w:rPr>
          <w:rFonts w:ascii="Verdana" w:hAnsi="Verdana" w:cs="Times New Roman"/>
          <w:b/>
          <w:noProof/>
          <w:sz w:val="20"/>
          <w:szCs w:val="20"/>
        </w:rPr>
        <w:t>Zasady rozpatrywania protestu</w:t>
      </w:r>
    </w:p>
    <w:p w:rsidR="006F566B" w:rsidRPr="00967F24" w:rsidRDefault="006F566B" w:rsidP="006F566B">
      <w:pPr>
        <w:spacing w:after="0" w:line="240" w:lineRule="auto"/>
        <w:ind w:left="284"/>
        <w:jc w:val="both"/>
        <w:rPr>
          <w:rFonts w:ascii="Verdana" w:hAnsi="Verdana" w:cs="Times New Roman"/>
          <w:noProof/>
          <w:sz w:val="20"/>
          <w:szCs w:val="20"/>
        </w:rPr>
      </w:pPr>
    </w:p>
    <w:p w:rsidR="006F566B" w:rsidRDefault="006F566B" w:rsidP="006F566B">
      <w:pPr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Verdana" w:hAnsi="Verdana" w:cs="Times New Roman"/>
          <w:noProof/>
          <w:sz w:val="20"/>
          <w:szCs w:val="20"/>
        </w:rPr>
      </w:pPr>
      <w:r w:rsidRPr="004024A6">
        <w:rPr>
          <w:rFonts w:ascii="Verdana" w:hAnsi="Verdana" w:cs="Times New Roman"/>
          <w:iCs/>
          <w:sz w:val="20"/>
          <w:szCs w:val="20"/>
          <w:highlight w:val="yellow"/>
        </w:rPr>
        <w:t>Protest jest wnoszony w terminie 7 dni od dnia otrzymania informacji</w:t>
      </w:r>
      <w:r w:rsidRPr="00967F24">
        <w:rPr>
          <w:rFonts w:ascii="Verdana" w:hAnsi="Verdana" w:cs="Times New Roman"/>
          <w:iCs/>
          <w:sz w:val="20"/>
          <w:szCs w:val="20"/>
        </w:rPr>
        <w:t xml:space="preserve"> o wyniku oceny zgodności z LSR  lub wyniku wyboru i rozpatrywany jest przez zarząd województwa. Protest jest niezwłocznie przekazywany do ZW wraz z informacją o wpłynięciu protestu do LGD. </w:t>
      </w:r>
      <w:r w:rsidRPr="00967F24">
        <w:rPr>
          <w:rFonts w:ascii="Verdana" w:hAnsi="Verdana" w:cs="Times New Roman"/>
          <w:b/>
          <w:iCs/>
          <w:sz w:val="20"/>
          <w:szCs w:val="20"/>
        </w:rPr>
        <w:t>Wzór protestu stanowi załącznik nr 7 do Procedury.</w:t>
      </w:r>
    </w:p>
    <w:p w:rsidR="006F566B" w:rsidRDefault="006F566B" w:rsidP="006F566B">
      <w:pPr>
        <w:numPr>
          <w:ilvl w:val="3"/>
          <w:numId w:val="1"/>
        </w:numPr>
        <w:tabs>
          <w:tab w:val="left" w:pos="284"/>
        </w:tabs>
        <w:suppressAutoHyphens w:val="0"/>
        <w:spacing w:after="0" w:line="240" w:lineRule="auto"/>
        <w:ind w:left="284" w:hanging="284"/>
        <w:jc w:val="both"/>
        <w:rPr>
          <w:rFonts w:ascii="Verdana" w:hAnsi="Verdana" w:cs="Times New Roman"/>
          <w:noProof/>
          <w:sz w:val="20"/>
          <w:szCs w:val="20"/>
        </w:rPr>
      </w:pPr>
      <w:r w:rsidRPr="00967F24">
        <w:rPr>
          <w:rFonts w:ascii="Verdana" w:hAnsi="Verdana" w:cs="Times New Roman"/>
          <w:sz w:val="20"/>
          <w:szCs w:val="20"/>
        </w:rPr>
        <w:t xml:space="preserve">W przypadku wniesienia protestu niespełniającego wymogów formalnych lub zawierającego oczywiste omyłki, do chwili </w:t>
      </w:r>
      <w:r w:rsidRPr="00967F24">
        <w:rPr>
          <w:rFonts w:ascii="Verdana" w:hAnsi="Verdana" w:cs="Times New Roman"/>
          <w:noProof/>
          <w:sz w:val="20"/>
          <w:szCs w:val="20"/>
        </w:rPr>
        <w:t xml:space="preserve">weryfikacji dokonanej przez siebie oceny i wyboru wniosków i operacji do dofinansowania Wynioskodawca może </w:t>
      </w:r>
      <w:r w:rsidRPr="00967F24">
        <w:rPr>
          <w:rFonts w:ascii="Verdana" w:hAnsi="Verdana" w:cs="Times New Roman"/>
          <w:sz w:val="20"/>
          <w:szCs w:val="20"/>
        </w:rPr>
        <w:t>uzupełnić lub poprawić w nim oczywiste omyłki, pod rygorem pozostawienia protestu bez rozpatrzenia.</w:t>
      </w:r>
    </w:p>
    <w:p w:rsidR="006F566B" w:rsidRDefault="006F566B" w:rsidP="006F566B">
      <w:pPr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Verdana" w:hAnsi="Verdana" w:cs="Times New Roman"/>
          <w:noProof/>
          <w:sz w:val="20"/>
          <w:szCs w:val="20"/>
        </w:rPr>
      </w:pPr>
      <w:r w:rsidRPr="00967F24">
        <w:rPr>
          <w:rFonts w:ascii="Verdana" w:hAnsi="Verdana" w:cs="Times New Roman"/>
          <w:sz w:val="20"/>
          <w:szCs w:val="20"/>
        </w:rPr>
        <w:t>Uzupełnienie protestu, może nastąpić wyłącznie w odniesieniu do wymogów formalnych, tj.:</w:t>
      </w:r>
    </w:p>
    <w:p w:rsidR="006F566B" w:rsidRPr="00967F24" w:rsidRDefault="006F566B" w:rsidP="006F566B">
      <w:pPr>
        <w:pStyle w:val="Akapitzlist"/>
        <w:numPr>
          <w:ilvl w:val="4"/>
          <w:numId w:val="1"/>
        </w:numPr>
        <w:tabs>
          <w:tab w:val="clear" w:pos="3600"/>
          <w:tab w:val="num" w:pos="709"/>
          <w:tab w:val="num" w:pos="3261"/>
        </w:tabs>
        <w:suppressAutoHyphens w:val="0"/>
        <w:spacing w:after="0" w:line="240" w:lineRule="auto"/>
        <w:ind w:left="709" w:hanging="425"/>
        <w:contextualSpacing w:val="0"/>
        <w:jc w:val="both"/>
        <w:rPr>
          <w:rFonts w:ascii="Verdana" w:hAnsi="Verdana" w:cs="Times New Roman"/>
          <w:noProof/>
          <w:sz w:val="20"/>
          <w:szCs w:val="20"/>
        </w:rPr>
      </w:pPr>
      <w:r w:rsidRPr="00967F24">
        <w:rPr>
          <w:rFonts w:ascii="Verdana" w:hAnsi="Verdana" w:cs="Times New Roman"/>
          <w:sz w:val="20"/>
          <w:szCs w:val="20"/>
        </w:rPr>
        <w:t xml:space="preserve">oznaczenie instytucji właściwej do rozpatrzenia protestu; </w:t>
      </w:r>
    </w:p>
    <w:p w:rsidR="006F566B" w:rsidRPr="00967F24" w:rsidRDefault="006F566B" w:rsidP="006F566B">
      <w:pPr>
        <w:numPr>
          <w:ilvl w:val="4"/>
          <w:numId w:val="1"/>
        </w:numPr>
        <w:tabs>
          <w:tab w:val="num" w:pos="284"/>
          <w:tab w:val="num" w:pos="709"/>
        </w:tabs>
        <w:suppressAutoHyphens w:val="0"/>
        <w:spacing w:after="0" w:line="240" w:lineRule="auto"/>
        <w:ind w:left="284" w:firstLine="0"/>
        <w:jc w:val="both"/>
        <w:rPr>
          <w:rFonts w:ascii="Verdana" w:hAnsi="Verdana" w:cs="Times New Roman"/>
          <w:noProof/>
          <w:sz w:val="20"/>
          <w:szCs w:val="20"/>
        </w:rPr>
      </w:pPr>
      <w:r w:rsidRPr="00967F24">
        <w:rPr>
          <w:rFonts w:ascii="Verdana" w:hAnsi="Verdana" w:cs="Times New Roman"/>
          <w:sz w:val="20"/>
          <w:szCs w:val="20"/>
        </w:rPr>
        <w:t xml:space="preserve">oznaczenie wnioskodawcy; </w:t>
      </w:r>
    </w:p>
    <w:p w:rsidR="006F566B" w:rsidRPr="00967F24" w:rsidRDefault="006F566B" w:rsidP="006F566B">
      <w:pPr>
        <w:numPr>
          <w:ilvl w:val="4"/>
          <w:numId w:val="1"/>
        </w:numPr>
        <w:tabs>
          <w:tab w:val="num" w:pos="284"/>
          <w:tab w:val="num" w:pos="709"/>
        </w:tabs>
        <w:suppressAutoHyphens w:val="0"/>
        <w:spacing w:after="0" w:line="240" w:lineRule="auto"/>
        <w:ind w:left="284" w:firstLine="0"/>
        <w:jc w:val="both"/>
        <w:rPr>
          <w:rFonts w:ascii="Verdana" w:hAnsi="Verdana" w:cs="Times New Roman"/>
          <w:noProof/>
          <w:sz w:val="20"/>
          <w:szCs w:val="20"/>
        </w:rPr>
      </w:pPr>
      <w:r w:rsidRPr="00967F24">
        <w:rPr>
          <w:rFonts w:ascii="Verdana" w:hAnsi="Verdana" w:cs="Times New Roman"/>
          <w:sz w:val="20"/>
          <w:szCs w:val="20"/>
        </w:rPr>
        <w:t>numer wniosku o dofinansowanie projektu;</w:t>
      </w:r>
    </w:p>
    <w:p w:rsidR="006F566B" w:rsidRPr="00967F24" w:rsidRDefault="006F566B" w:rsidP="006F566B">
      <w:pPr>
        <w:numPr>
          <w:ilvl w:val="4"/>
          <w:numId w:val="1"/>
        </w:numPr>
        <w:tabs>
          <w:tab w:val="num" w:pos="709"/>
        </w:tabs>
        <w:suppressAutoHyphens w:val="0"/>
        <w:spacing w:after="0" w:line="240" w:lineRule="auto"/>
        <w:ind w:left="709" w:hanging="425"/>
        <w:jc w:val="both"/>
        <w:rPr>
          <w:rFonts w:ascii="Verdana" w:hAnsi="Verdana" w:cs="Times New Roman"/>
          <w:noProof/>
          <w:sz w:val="20"/>
          <w:szCs w:val="20"/>
        </w:rPr>
      </w:pPr>
      <w:r w:rsidRPr="00967F24">
        <w:rPr>
          <w:rFonts w:ascii="Verdana" w:hAnsi="Verdana" w:cs="Times New Roman"/>
          <w:sz w:val="20"/>
          <w:szCs w:val="20"/>
        </w:rPr>
        <w:t>podpis wnioskodawcy lub osoby upoważnionej do jego reprezentowania, z załączeniem oryginału lub kopii dokumentu poświadczającego umocowanie takiej osoby do reprezentowania wnioskodawcy.</w:t>
      </w:r>
    </w:p>
    <w:p w:rsidR="006F566B" w:rsidRDefault="006F566B" w:rsidP="006F566B">
      <w:pPr>
        <w:tabs>
          <w:tab w:val="left" w:pos="284"/>
          <w:tab w:val="num" w:pos="3600"/>
        </w:tabs>
        <w:spacing w:after="0" w:line="240" w:lineRule="auto"/>
        <w:ind w:left="284" w:hanging="284"/>
        <w:jc w:val="both"/>
        <w:rPr>
          <w:rFonts w:ascii="Verdana" w:hAnsi="Verdana" w:cs="Times New Roman"/>
          <w:noProof/>
          <w:sz w:val="20"/>
          <w:szCs w:val="20"/>
        </w:rPr>
      </w:pPr>
      <w:r w:rsidRPr="00967F24">
        <w:rPr>
          <w:rFonts w:ascii="Verdana" w:hAnsi="Verdana" w:cs="Times New Roman"/>
          <w:noProof/>
          <w:sz w:val="20"/>
          <w:szCs w:val="20"/>
        </w:rPr>
        <w:t>4.</w:t>
      </w:r>
      <w:r>
        <w:rPr>
          <w:rFonts w:ascii="Verdana" w:hAnsi="Verdana" w:cs="Times New Roman"/>
          <w:noProof/>
          <w:sz w:val="20"/>
          <w:szCs w:val="20"/>
        </w:rPr>
        <w:t xml:space="preserve"> </w:t>
      </w:r>
      <w:r w:rsidRPr="00967F24">
        <w:rPr>
          <w:rFonts w:ascii="Verdana" w:hAnsi="Verdana" w:cs="Times New Roman"/>
          <w:noProof/>
          <w:sz w:val="20"/>
          <w:szCs w:val="20"/>
        </w:rPr>
        <w:t>Wezwanie do uzupełnienia protestu lub poprawienia w nim oczywistych omyłek wstrzymuje bieg terminu na weryfikację wyników wyboru operacji (termin dla LGD) i bieg terminu na rozpatrzenie protestu (termin dla zarządu województwa).</w:t>
      </w:r>
    </w:p>
    <w:p w:rsidR="006F566B" w:rsidRDefault="006F566B" w:rsidP="006F566B">
      <w:pPr>
        <w:tabs>
          <w:tab w:val="left" w:pos="284"/>
          <w:tab w:val="num" w:pos="3600"/>
        </w:tabs>
        <w:spacing w:after="0" w:line="240" w:lineRule="auto"/>
        <w:ind w:left="284" w:hanging="284"/>
        <w:jc w:val="both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5. </w:t>
      </w:r>
      <w:r w:rsidRPr="00967F24">
        <w:rPr>
          <w:rFonts w:ascii="Verdana" w:hAnsi="Verdana" w:cs="Times New Roman"/>
          <w:noProof/>
          <w:sz w:val="20"/>
          <w:szCs w:val="20"/>
        </w:rPr>
        <w:t>Na prawo wnioskodawcy do wniesienia protestu nie wpływa negatywnie błędne pouczenie lub brak pouczenia o tym prawie i o sposobie wniesienia tego protestu.</w:t>
      </w:r>
    </w:p>
    <w:p w:rsidR="006F566B" w:rsidRPr="00967F24" w:rsidRDefault="006F566B" w:rsidP="006F566B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:rsidR="006F566B" w:rsidRPr="00967F24" w:rsidRDefault="006F566B" w:rsidP="006F566B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67F24">
        <w:rPr>
          <w:rFonts w:ascii="Verdana" w:hAnsi="Verdana" w:cs="Times New Roman"/>
          <w:b/>
          <w:sz w:val="20"/>
          <w:szCs w:val="20"/>
        </w:rPr>
        <w:t>§ 18</w:t>
      </w:r>
    </w:p>
    <w:p w:rsidR="006F566B" w:rsidRPr="00967F24" w:rsidRDefault="006F566B" w:rsidP="006F566B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67F24">
        <w:rPr>
          <w:rFonts w:ascii="Verdana" w:hAnsi="Verdana" w:cs="Times New Roman"/>
          <w:b/>
          <w:sz w:val="20"/>
          <w:szCs w:val="20"/>
        </w:rPr>
        <w:t>Autokontrola LGD</w:t>
      </w:r>
    </w:p>
    <w:p w:rsidR="006F566B" w:rsidRPr="00967F24" w:rsidRDefault="006F566B" w:rsidP="006F566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6F566B" w:rsidRPr="00967F24" w:rsidRDefault="006F566B" w:rsidP="006F566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67F24">
        <w:rPr>
          <w:rFonts w:ascii="Verdana" w:hAnsi="Verdana" w:cs="Times New Roman"/>
          <w:sz w:val="20"/>
          <w:szCs w:val="20"/>
        </w:rPr>
        <w:t>Rada w terminie 14 dni od dnia otrzymania protestu weryfikuje wyniki dokonanej przez siebie oceny operacji w zakresie kryteriów i zarzutów podnoszonych w proteście, i:</w:t>
      </w:r>
    </w:p>
    <w:p w:rsidR="006F566B" w:rsidRPr="00967F24" w:rsidRDefault="006F566B" w:rsidP="006F566B">
      <w:pPr>
        <w:spacing w:after="0" w:line="240" w:lineRule="auto"/>
        <w:ind w:left="426" w:hanging="426"/>
        <w:jc w:val="both"/>
        <w:rPr>
          <w:rFonts w:ascii="Verdana" w:hAnsi="Verdana" w:cs="Times New Roman"/>
          <w:sz w:val="20"/>
          <w:szCs w:val="20"/>
        </w:rPr>
      </w:pPr>
      <w:r w:rsidRPr="00967F24">
        <w:rPr>
          <w:rFonts w:ascii="Verdana" w:hAnsi="Verdana" w:cs="Times New Roman"/>
          <w:sz w:val="20"/>
          <w:szCs w:val="20"/>
        </w:rPr>
        <w:t xml:space="preserve">1) </w:t>
      </w:r>
      <w:r w:rsidRPr="00967F24">
        <w:rPr>
          <w:rFonts w:ascii="Verdana" w:hAnsi="Verdana" w:cs="Times New Roman"/>
          <w:sz w:val="20"/>
          <w:szCs w:val="20"/>
        </w:rPr>
        <w:tab/>
        <w:t>dokonuje zmiany podjętego rozstrzygnięcia, co skutkuje odpowiednio skierowaniem operacji do właściwego etapu oceny albo umieszczeniem go na liście operacji wybranych przez LGD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967F24">
        <w:rPr>
          <w:rFonts w:ascii="Verdana" w:hAnsi="Verdana" w:cs="Times New Roman"/>
          <w:sz w:val="20"/>
          <w:szCs w:val="20"/>
        </w:rPr>
        <w:t>w wyniku przeprowadzenia procedury odwoławczej, informując o tym wnioskodawcę, albo</w:t>
      </w:r>
    </w:p>
    <w:p w:rsidR="006F566B" w:rsidRPr="00967F24" w:rsidRDefault="006F566B" w:rsidP="006F566B">
      <w:pPr>
        <w:spacing w:after="0" w:line="240" w:lineRule="auto"/>
        <w:ind w:left="426" w:hanging="426"/>
        <w:jc w:val="both"/>
        <w:rPr>
          <w:rFonts w:ascii="Verdana" w:hAnsi="Verdana" w:cs="Times New Roman"/>
          <w:sz w:val="20"/>
          <w:szCs w:val="20"/>
        </w:rPr>
      </w:pPr>
      <w:r w:rsidRPr="00967F24">
        <w:rPr>
          <w:rFonts w:ascii="Verdana" w:hAnsi="Verdana" w:cs="Times New Roman"/>
          <w:sz w:val="20"/>
          <w:szCs w:val="20"/>
        </w:rPr>
        <w:t xml:space="preserve">2) </w:t>
      </w:r>
      <w:r w:rsidRPr="00967F24">
        <w:rPr>
          <w:rFonts w:ascii="Verdana" w:hAnsi="Verdana" w:cs="Times New Roman"/>
          <w:sz w:val="20"/>
          <w:szCs w:val="20"/>
        </w:rPr>
        <w:tab/>
        <w:t xml:space="preserve">kieruje protest wraz z otrzymaną od wnioskodawcy dokumentacją do ZW, załączając do niego stanowisko dotyczące braku podstaw do zmiany podjętego rozstrzygnięcia, oraz informuje wnioskodawcę na piśmie o przekazaniu protestu.         </w:t>
      </w:r>
    </w:p>
    <w:p w:rsidR="00AA026B" w:rsidRDefault="00AA026B"/>
    <w:sectPr w:rsidR="00AA026B" w:rsidSect="00AA0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348AF"/>
    <w:multiLevelType w:val="hybridMultilevel"/>
    <w:tmpl w:val="475E62A6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8384EB50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6B"/>
    <w:rsid w:val="006F566B"/>
    <w:rsid w:val="00AA026B"/>
    <w:rsid w:val="00EB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66B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F5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66B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F5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 Drawy</cp:lastModifiedBy>
  <cp:revision>2</cp:revision>
  <dcterms:created xsi:type="dcterms:W3CDTF">2020-12-10T14:26:00Z</dcterms:created>
  <dcterms:modified xsi:type="dcterms:W3CDTF">2020-12-10T14:26:00Z</dcterms:modified>
</cp:coreProperties>
</file>