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3E" w:rsidRPr="0092723E" w:rsidRDefault="0092723E" w:rsidP="0092723E">
      <w:pPr>
        <w:pStyle w:val="Bezodstpw"/>
        <w:jc w:val="both"/>
        <w:rPr>
          <w:rFonts w:ascii="Times New Roman" w:hAnsi="Times New Roman"/>
        </w:rPr>
      </w:pPr>
      <w:bookmarkStart w:id="0" w:name="_Toc437640216"/>
      <w:bookmarkStart w:id="1" w:name="_Toc459224289"/>
      <w:r w:rsidRPr="00DE29FD">
        <w:rPr>
          <w:rFonts w:ascii="Times New Roman" w:hAnsi="Times New Roman"/>
          <w:b/>
        </w:rPr>
        <w:t xml:space="preserve">Załącznik  nr 2 do Ogłoszenia nr </w:t>
      </w:r>
      <w:r w:rsidR="009040EF">
        <w:rPr>
          <w:rFonts w:ascii="Times New Roman" w:hAnsi="Times New Roman"/>
          <w:b/>
        </w:rPr>
        <w:t>6</w:t>
      </w:r>
      <w:r w:rsidRPr="00DE29FD">
        <w:rPr>
          <w:rFonts w:ascii="Times New Roman" w:hAnsi="Times New Roman"/>
          <w:b/>
        </w:rPr>
        <w:t>/201</w:t>
      </w:r>
      <w:r w:rsidR="00E83F8D">
        <w:rPr>
          <w:rFonts w:ascii="Times New Roman" w:hAnsi="Times New Roman"/>
          <w:b/>
        </w:rPr>
        <w:t>8</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50436C" w:rsidRDefault="0050436C" w:rsidP="0050436C">
      <w:pPr>
        <w:spacing w:line="360" w:lineRule="auto"/>
        <w:jc w:val="center"/>
        <w:rPr>
          <w:rFonts w:ascii="Times New Roman" w:hAnsi="Times New Roman" w:cs="Times New Roman"/>
          <w:b/>
          <w:sz w:val="36"/>
          <w:szCs w:val="36"/>
        </w:rPr>
      </w:pPr>
      <w:r>
        <w:rPr>
          <w:rFonts w:ascii="Times New Roman" w:hAnsi="Times New Roman" w:cs="Times New Roman"/>
          <w:b/>
          <w:sz w:val="36"/>
          <w:szCs w:val="36"/>
        </w:rPr>
        <w:t>PROMOWANIE OBSZARU LSR</w:t>
      </w:r>
      <w:r w:rsidR="00E17C06">
        <w:rPr>
          <w:rFonts w:ascii="Times New Roman" w:hAnsi="Times New Roman" w:cs="Times New Roman"/>
          <w:b/>
          <w:sz w:val="36"/>
          <w:szCs w:val="36"/>
        </w:rPr>
        <w:t>, W TYM PRODUKTÓW LUB USŁUG LOKALNYCH</w:t>
      </w:r>
    </w:p>
    <w:p w:rsidR="0092723E" w:rsidRDefault="0092723E" w:rsidP="00B24A3B">
      <w:pPr>
        <w:spacing w:line="360" w:lineRule="auto"/>
        <w:jc w:val="center"/>
        <w:rPr>
          <w:rFonts w:ascii="Times New Roman" w:hAnsi="Times New Roman" w:cs="Times New Roman"/>
          <w:sz w:val="36"/>
          <w:szCs w:val="36"/>
        </w:rPr>
      </w:pPr>
    </w:p>
    <w:p w:rsidR="0092723E" w:rsidRPr="0092723E" w:rsidRDefault="0092723E" w:rsidP="00B24A3B">
      <w:pPr>
        <w:spacing w:line="360" w:lineRule="auto"/>
        <w:jc w:val="center"/>
        <w:rPr>
          <w:rFonts w:ascii="Times New Roman" w:hAnsi="Times New Roman" w:cs="Times New Roman"/>
          <w:sz w:val="36"/>
          <w:szCs w:val="36"/>
        </w:rPr>
        <w:sectPr w:rsidR="0092723E" w:rsidRPr="0092723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134" w:header="709" w:footer="1134" w:gutter="0"/>
          <w:pgNumType w:start="0"/>
          <w:cols w:space="708"/>
          <w:docGrid w:linePitch="360"/>
        </w:sectPr>
      </w:pPr>
    </w:p>
    <w:p w:rsidR="00E83F8D" w:rsidRDefault="00E83F8D" w:rsidP="00E83F8D">
      <w:pPr>
        <w:spacing w:before="120" w:after="0"/>
        <w:jc w:val="center"/>
        <w:rPr>
          <w:rFonts w:ascii="Times New Roman" w:hAnsi="Times New Roman" w:cs="Times New Roman"/>
          <w:lang w:eastAsia="pl-PL"/>
        </w:rPr>
      </w:pPr>
      <w:r>
        <w:rPr>
          <w:rFonts w:ascii="Times New Roman" w:hAnsi="Times New Roman" w:cs="Times New Roman"/>
          <w:b/>
          <w:lang w:eastAsia="pl-PL"/>
        </w:rPr>
        <w:lastRenderedPageBreak/>
        <w:t>LOKALNE KRYTERIA WYBORU OPERACJI</w:t>
      </w:r>
    </w:p>
    <w:p w:rsidR="00E83F8D" w:rsidRDefault="00E83F8D" w:rsidP="00E83F8D">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OBLIGATORYJNE DLA WSZYSTKICH NABORÓW I REALIZOWANYCH TYPÓW OPERACJI </w:t>
      </w:r>
    </w:p>
    <w:p w:rsidR="00E83F8D" w:rsidRPr="00D41FC8" w:rsidRDefault="00E83F8D" w:rsidP="00E83F8D">
      <w:pPr>
        <w:spacing w:before="120" w:after="0"/>
        <w:jc w:val="center"/>
        <w:rPr>
          <w:rFonts w:ascii="Times New Roman" w:hAnsi="Times New Roman" w:cs="Times New Roman"/>
          <w:lang w:eastAsia="pl-PL"/>
        </w:rPr>
      </w:pPr>
      <w:r>
        <w:rPr>
          <w:rFonts w:ascii="Times New Roman" w:hAnsi="Times New Roman" w:cs="Times New Roman"/>
          <w:b/>
          <w:lang w:eastAsia="pl-PL"/>
        </w:rPr>
        <w:t xml:space="preserve">(*NIE DOTYCZY PROMOWANIA </w:t>
      </w:r>
      <w:r w:rsidRPr="00D41FC8">
        <w:rPr>
          <w:rFonts w:ascii="Times New Roman" w:hAnsi="Times New Roman" w:cs="Times New Roman"/>
          <w:b/>
          <w:lang w:eastAsia="pl-PL"/>
        </w:rPr>
        <w:t>OBSZARU LSR</w:t>
      </w:r>
      <w:r w:rsidR="00D41FC8" w:rsidRPr="00D41FC8">
        <w:rPr>
          <w:rFonts w:ascii="Times New Roman" w:hAnsi="Times New Roman" w:cs="Times New Roman"/>
          <w:b/>
          <w:lang w:eastAsia="pl-PL"/>
        </w:rPr>
        <w:t xml:space="preserve">, </w:t>
      </w:r>
      <w:r w:rsidR="00D41FC8" w:rsidRPr="00D41FC8">
        <w:rPr>
          <w:rFonts w:ascii="Times New Roman" w:hAnsi="Times New Roman" w:cs="Times New Roman"/>
          <w:b/>
        </w:rPr>
        <w:t>W TYM PRODUKTÓW LUB USŁUG LOKALNYCH</w:t>
      </w:r>
      <w:r w:rsidRPr="00D41FC8">
        <w:rPr>
          <w:rFonts w:ascii="Times New Roman" w:hAnsi="Times New Roman" w:cs="Times New Roman"/>
          <w:lang w:eastAsia="pl-PL"/>
        </w:rPr>
        <w:t>)</w:t>
      </w:r>
    </w:p>
    <w:p w:rsidR="00E83F8D" w:rsidRPr="00D41FC8" w:rsidRDefault="00E83F8D" w:rsidP="00E83F8D">
      <w:pPr>
        <w:spacing w:after="0" w:line="240" w:lineRule="auto"/>
        <w:rPr>
          <w:rFonts w:ascii="Verdana" w:hAnsi="Verdana" w:cs="Verdana"/>
          <w:b/>
          <w:bCs/>
          <w:color w:val="365F91"/>
          <w:lang w:eastAsia="pl-PL"/>
        </w:rPr>
      </w:pPr>
    </w:p>
    <w:tbl>
      <w:tblPr>
        <w:tblW w:w="0" w:type="auto"/>
        <w:tblInd w:w="-128" w:type="dxa"/>
        <w:tblLayout w:type="fixed"/>
        <w:tblCellMar>
          <w:left w:w="0" w:type="dxa"/>
          <w:right w:w="0" w:type="dxa"/>
        </w:tblCellMar>
        <w:tblLook w:val="04A0"/>
      </w:tblPr>
      <w:tblGrid>
        <w:gridCol w:w="2431"/>
        <w:gridCol w:w="5190"/>
        <w:gridCol w:w="3969"/>
        <w:gridCol w:w="2688"/>
      </w:tblGrid>
      <w:tr w:rsidR="00E83F8D" w:rsidTr="00742760">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E83F8D" w:rsidRDefault="00E83F8D" w:rsidP="00742760">
            <w:pPr>
              <w:spacing w:after="0" w:line="240" w:lineRule="auto"/>
            </w:pPr>
            <w:r>
              <w:rPr>
                <w:rFonts w:ascii="Verdana" w:hAnsi="Verdana" w:cs="Verdana"/>
                <w:sz w:val="20"/>
                <w:szCs w:val="20"/>
              </w:rPr>
              <w:t>Źródło weryfikacji:</w:t>
            </w:r>
          </w:p>
        </w:tc>
      </w:tr>
      <w:tr w:rsidR="00E83F8D" w:rsidTr="00742760">
        <w:tc>
          <w:tcPr>
            <w:tcW w:w="2431" w:type="dxa"/>
            <w:tcBorders>
              <w:top w:val="nil"/>
              <w:left w:val="single" w:sz="8" w:space="0" w:color="000000"/>
              <w:bottom w:val="single" w:sz="8"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b/>
                <w:bCs/>
                <w:sz w:val="20"/>
                <w:szCs w:val="20"/>
              </w:rPr>
              <w:t>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stanu środowiska naturalnego lub klimatu obszaru LSR.</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stanu środowiska naturalnego lub klimatu obszaru LSR.</w:t>
            </w:r>
          </w:p>
          <w:p w:rsidR="00E83F8D" w:rsidRDefault="00E83F8D" w:rsidP="00742760">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E83F8D" w:rsidRDefault="00E83F8D" w:rsidP="00742760">
            <w:pPr>
              <w:spacing w:after="0" w:line="240" w:lineRule="auto"/>
              <w:rPr>
                <w:rFonts w:ascii="Verdana" w:hAnsi="Verdana" w:cs="Verdana"/>
                <w:sz w:val="20"/>
                <w:szCs w:val="20"/>
              </w:rPr>
            </w:pPr>
            <w:r>
              <w:rPr>
                <w:rFonts w:ascii="Verdana" w:hAnsi="Verdana" w:cs="Verdana"/>
                <w:sz w:val="20"/>
                <w:szCs w:val="20"/>
              </w:rPr>
              <w:t>Wniosek o przyznanie pomocy w ramach LSR</w:t>
            </w:r>
          </w:p>
          <w:p w:rsidR="00E83F8D" w:rsidRDefault="00E83F8D" w:rsidP="00742760">
            <w:pPr>
              <w:spacing w:after="0" w:line="240" w:lineRule="auto"/>
              <w:rPr>
                <w:rFonts w:ascii="Verdana" w:hAnsi="Verdana" w:cs="Verdana"/>
                <w:sz w:val="20"/>
                <w:szCs w:val="20"/>
              </w:rPr>
            </w:pPr>
          </w:p>
          <w:p w:rsidR="00E83F8D" w:rsidRDefault="00E83F8D" w:rsidP="00742760">
            <w:pPr>
              <w:spacing w:after="0" w:line="240" w:lineRule="auto"/>
              <w:rPr>
                <w:b/>
              </w:rPr>
            </w:pPr>
            <w:r>
              <w:rPr>
                <w:rFonts w:ascii="Verdana" w:hAnsi="Verdana" w:cs="Verdana"/>
                <w:b/>
                <w:sz w:val="20"/>
                <w:szCs w:val="20"/>
              </w:rPr>
              <w:t>DOTYCZY PRZEDSIĘWZIĘCIA</w:t>
            </w:r>
          </w:p>
        </w:tc>
      </w:tr>
    </w:tbl>
    <w:p w:rsidR="00E83F8D" w:rsidRDefault="00E83F8D" w:rsidP="00E83F8D"/>
    <w:tbl>
      <w:tblPr>
        <w:tblW w:w="0" w:type="auto"/>
        <w:tblInd w:w="-133" w:type="dxa"/>
        <w:tblLayout w:type="fixed"/>
        <w:tblCellMar>
          <w:left w:w="0" w:type="dxa"/>
          <w:right w:w="0" w:type="dxa"/>
        </w:tblCellMar>
        <w:tblLook w:val="04A0"/>
      </w:tblPr>
      <w:tblGrid>
        <w:gridCol w:w="2431"/>
        <w:gridCol w:w="5190"/>
        <w:gridCol w:w="3969"/>
        <w:gridCol w:w="2658"/>
        <w:gridCol w:w="30"/>
      </w:tblGrid>
      <w:tr w:rsidR="00E83F8D" w:rsidTr="00742760">
        <w:trPr>
          <w:gridAfter w:val="1"/>
          <w:wAfter w:w="30" w:type="dxa"/>
        </w:trPr>
        <w:tc>
          <w:tcPr>
            <w:tcW w:w="2431" w:type="dxa"/>
            <w:tcBorders>
              <w:top w:val="single" w:sz="4" w:space="0" w:color="000000"/>
              <w:left w:val="single" w:sz="4" w:space="0" w:color="000000"/>
              <w:bottom w:val="single" w:sz="4"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b/>
                <w:bCs/>
                <w:sz w:val="20"/>
                <w:szCs w:val="20"/>
              </w:rPr>
              <w:t>II.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w:t>
            </w:r>
            <w:r>
              <w:rPr>
                <w:rFonts w:ascii="Verdana" w:hAnsi="Verdana" w:cs="Verdana"/>
                <w:sz w:val="20"/>
                <w:szCs w:val="20"/>
              </w:rPr>
              <w:lastRenderedPageBreak/>
              <w:t xml:space="preserve">rozwinięciu działalności </w:t>
            </w:r>
            <w:proofErr w:type="spellStart"/>
            <w:r>
              <w:rPr>
                <w:rFonts w:ascii="Verdana" w:hAnsi="Verdana" w:cs="Verdana"/>
                <w:sz w:val="20"/>
                <w:szCs w:val="20"/>
              </w:rPr>
              <w:t>okołoturystycznej</w:t>
            </w:r>
            <w:proofErr w:type="spellEnd"/>
            <w:r>
              <w:rPr>
                <w:rFonts w:ascii="Verdana" w:hAnsi="Verdana" w:cs="Verdana"/>
                <w:sz w:val="20"/>
                <w:szCs w:val="20"/>
              </w:rPr>
              <w:t xml:space="preserve"> </w:t>
            </w:r>
          </w:p>
        </w:tc>
        <w:tc>
          <w:tcPr>
            <w:tcW w:w="3969" w:type="dxa"/>
            <w:tcBorders>
              <w:top w:val="single" w:sz="4" w:space="0" w:color="000000"/>
              <w:left w:val="single" w:sz="8" w:space="0" w:color="000000"/>
              <w:bottom w:val="single" w:sz="4"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b/>
                <w:sz w:val="20"/>
                <w:szCs w:val="20"/>
              </w:rPr>
              <w:lastRenderedPageBreak/>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poprawę atrakcyjności turystycznej obszaru</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E83F8D" w:rsidRDefault="00E83F8D" w:rsidP="00742760">
            <w:pPr>
              <w:spacing w:after="0" w:line="240" w:lineRule="auto"/>
            </w:pPr>
            <w:r>
              <w:rPr>
                <w:rFonts w:ascii="Verdana" w:hAnsi="Verdana" w:cs="Verdana"/>
                <w:sz w:val="20"/>
                <w:szCs w:val="20"/>
              </w:rPr>
              <w:t>Wniosek o przyznanie pomocy w ramach LSR</w:t>
            </w:r>
          </w:p>
          <w:p w:rsidR="00E83F8D" w:rsidRDefault="00E83F8D" w:rsidP="00742760"/>
          <w:p w:rsidR="00E83F8D" w:rsidRDefault="00E83F8D" w:rsidP="00742760">
            <w:r>
              <w:rPr>
                <w:rFonts w:ascii="Verdana" w:hAnsi="Verdana" w:cs="Verdana"/>
                <w:b/>
                <w:sz w:val="20"/>
                <w:szCs w:val="20"/>
              </w:rPr>
              <w:t>DOTYCZY PRZEDSIĘWZIĘCIA</w:t>
            </w:r>
          </w:p>
        </w:tc>
      </w:tr>
      <w:tr w:rsidR="00E83F8D" w:rsidTr="00742760">
        <w:tc>
          <w:tcPr>
            <w:tcW w:w="2431" w:type="dxa"/>
            <w:tcBorders>
              <w:top w:val="single" w:sz="4" w:space="0" w:color="000000"/>
              <w:left w:val="single" w:sz="8" w:space="0" w:color="000000"/>
              <w:bottom w:val="single" w:sz="8"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b/>
                <w:bCs/>
                <w:sz w:val="20"/>
                <w:szCs w:val="20"/>
              </w:rPr>
              <w:lastRenderedPageBreak/>
              <w:t xml:space="preserve">III. Innowacyjność operacji </w:t>
            </w:r>
          </w:p>
        </w:tc>
        <w:tc>
          <w:tcPr>
            <w:tcW w:w="5190" w:type="dxa"/>
            <w:tcBorders>
              <w:top w:val="single" w:sz="4" w:space="0" w:color="000000"/>
              <w:left w:val="single" w:sz="8" w:space="0" w:color="000000"/>
              <w:bottom w:val="single" w:sz="8"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obszaru LSR</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gminy członkowskiej LGD miejsca realizacji operacji </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E83F8D" w:rsidRDefault="00E83F8D" w:rsidP="00742760">
            <w:pPr>
              <w:spacing w:after="0" w:line="240" w:lineRule="auto"/>
            </w:pPr>
            <w:r>
              <w:rPr>
                <w:rFonts w:ascii="Verdana" w:hAnsi="Verdana" w:cs="Verdana"/>
                <w:sz w:val="20"/>
                <w:szCs w:val="20"/>
              </w:rPr>
              <w:t>Wniosek o przyznanie pomocy w ramach LSR</w:t>
            </w:r>
          </w:p>
          <w:p w:rsidR="00E83F8D" w:rsidRDefault="00E83F8D" w:rsidP="00742760"/>
          <w:p w:rsidR="00E83F8D" w:rsidRDefault="00E83F8D" w:rsidP="00742760">
            <w:r>
              <w:rPr>
                <w:rFonts w:ascii="Verdana" w:hAnsi="Verdana" w:cs="Verdana"/>
                <w:b/>
                <w:sz w:val="20"/>
                <w:szCs w:val="20"/>
              </w:rPr>
              <w:t>DOTYCZY PRZEDSIĘWZIĘCIA</w:t>
            </w:r>
          </w:p>
        </w:tc>
      </w:tr>
      <w:tr w:rsidR="00E83F8D" w:rsidTr="00742760">
        <w:tc>
          <w:tcPr>
            <w:tcW w:w="2431" w:type="dxa"/>
            <w:tcBorders>
              <w:top w:val="nil"/>
              <w:left w:val="single" w:sz="8" w:space="0" w:color="000000"/>
              <w:bottom w:val="single" w:sz="8" w:space="0" w:color="000000"/>
              <w:right w:val="nil"/>
            </w:tcBorders>
          </w:tcPr>
          <w:p w:rsidR="00E83F8D" w:rsidRDefault="00E83F8D" w:rsidP="00742760">
            <w:pPr>
              <w:spacing w:after="0" w:line="240" w:lineRule="auto"/>
              <w:rPr>
                <w:rFonts w:ascii="Verdana" w:hAnsi="Verdana" w:cs="Verdana"/>
                <w:b/>
                <w:bCs/>
                <w:sz w:val="20"/>
                <w:szCs w:val="20"/>
              </w:rPr>
            </w:pPr>
            <w:r>
              <w:rPr>
                <w:rFonts w:ascii="Verdana" w:hAnsi="Verdana" w:cs="Verdana"/>
                <w:b/>
                <w:bCs/>
                <w:sz w:val="20"/>
                <w:szCs w:val="20"/>
              </w:rPr>
              <w:t>IV. Oddziaływanie czasowe operacji</w:t>
            </w:r>
          </w:p>
          <w:p w:rsidR="00E83F8D" w:rsidRDefault="00E83F8D" w:rsidP="00742760">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całoroczny operacji</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zakłada skutek sezonowy operacji </w:t>
            </w:r>
          </w:p>
          <w:p w:rsidR="00E83F8D" w:rsidRDefault="00E83F8D" w:rsidP="00742760">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E83F8D" w:rsidRDefault="00E83F8D" w:rsidP="00742760">
            <w:pPr>
              <w:spacing w:after="0" w:line="240" w:lineRule="auto"/>
            </w:pPr>
            <w:r>
              <w:rPr>
                <w:rFonts w:ascii="Verdana" w:hAnsi="Verdana" w:cs="Verdana"/>
                <w:sz w:val="20"/>
                <w:szCs w:val="20"/>
              </w:rPr>
              <w:t>Wniosek o przyznanie pomocy w ramach LSR</w:t>
            </w:r>
          </w:p>
          <w:p w:rsidR="00E83F8D" w:rsidRDefault="00E83F8D" w:rsidP="00742760"/>
          <w:p w:rsidR="00E83F8D" w:rsidRDefault="00E83F8D" w:rsidP="00742760">
            <w:r>
              <w:rPr>
                <w:rFonts w:ascii="Verdana" w:hAnsi="Verdana" w:cs="Verdana"/>
                <w:b/>
                <w:sz w:val="20"/>
                <w:szCs w:val="20"/>
              </w:rPr>
              <w:t>DOTYCZY PRZEDSIĘWZIĘCIA</w:t>
            </w:r>
          </w:p>
        </w:tc>
      </w:tr>
    </w:tbl>
    <w:p w:rsidR="00E83F8D" w:rsidRDefault="00E83F8D" w:rsidP="00E83F8D"/>
    <w:tbl>
      <w:tblPr>
        <w:tblW w:w="0" w:type="auto"/>
        <w:tblInd w:w="-133" w:type="dxa"/>
        <w:tblLayout w:type="fixed"/>
        <w:tblCellMar>
          <w:left w:w="0" w:type="dxa"/>
          <w:right w:w="0" w:type="dxa"/>
        </w:tblCellMar>
        <w:tblLook w:val="04A0"/>
      </w:tblPr>
      <w:tblGrid>
        <w:gridCol w:w="2431"/>
        <w:gridCol w:w="5190"/>
        <w:gridCol w:w="3969"/>
        <w:gridCol w:w="2658"/>
        <w:gridCol w:w="30"/>
      </w:tblGrid>
      <w:tr w:rsidR="00E83F8D" w:rsidTr="00742760">
        <w:trPr>
          <w:gridAfter w:val="1"/>
          <w:wAfter w:w="30" w:type="dxa"/>
        </w:trPr>
        <w:tc>
          <w:tcPr>
            <w:tcW w:w="2431" w:type="dxa"/>
            <w:tcBorders>
              <w:top w:val="single" w:sz="4" w:space="0" w:color="000000"/>
              <w:left w:val="single" w:sz="4" w:space="0" w:color="000000"/>
              <w:bottom w:val="single" w:sz="4"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b/>
                <w:bCs/>
                <w:sz w:val="20"/>
                <w:szCs w:val="20"/>
              </w:rPr>
              <w:t xml:space="preserve">V. Oddziaływanie operacji na grupę </w:t>
            </w:r>
            <w:proofErr w:type="spellStart"/>
            <w:r>
              <w:rPr>
                <w:rFonts w:ascii="Verdana" w:hAnsi="Verdana" w:cs="Verdana"/>
                <w:b/>
                <w:bCs/>
                <w:sz w:val="20"/>
                <w:szCs w:val="20"/>
              </w:rPr>
              <w:t>defaworyzowaną</w:t>
            </w:r>
            <w:proofErr w:type="spellEnd"/>
            <w:r>
              <w:rPr>
                <w:rFonts w:ascii="Verdana" w:hAnsi="Verdana" w:cs="Verdana"/>
                <w:b/>
                <w:bCs/>
                <w:sz w:val="20"/>
                <w:szCs w:val="20"/>
              </w:rPr>
              <w:t xml:space="preserve"> zidentyfikowaną w LSR </w:t>
            </w:r>
          </w:p>
        </w:tc>
        <w:tc>
          <w:tcPr>
            <w:tcW w:w="5190" w:type="dxa"/>
            <w:tcBorders>
              <w:top w:val="single" w:sz="4" w:space="0" w:color="000000"/>
              <w:left w:val="single" w:sz="8" w:space="0" w:color="000000"/>
              <w:bottom w:val="single" w:sz="4"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 xml:space="preserve">Preferuje się wnioski oddziałujące pozytywnie na grupę </w:t>
            </w:r>
            <w:proofErr w:type="spellStart"/>
            <w:r>
              <w:rPr>
                <w:rFonts w:ascii="Verdana" w:hAnsi="Verdana" w:cs="Verdana"/>
                <w:sz w:val="20"/>
                <w:szCs w:val="20"/>
              </w:rPr>
              <w:t>defaworyzowaną</w:t>
            </w:r>
            <w:proofErr w:type="spellEnd"/>
            <w:r>
              <w:rPr>
                <w:rFonts w:ascii="Verdana" w:hAnsi="Verdana" w:cs="Verdana"/>
                <w:sz w:val="20"/>
                <w:szCs w:val="20"/>
              </w:rPr>
              <w:t xml:space="preserve"> ze wzglądu na dostęp do rynku pracy. Identyfikacja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 znajduje się w Rozdziale I. LSR </w:t>
            </w:r>
            <w:r>
              <w:rPr>
                <w:rFonts w:ascii="Verdana" w:hAnsi="Verdana" w:cs="Verdana"/>
                <w:i/>
                <w:sz w:val="20"/>
                <w:szCs w:val="20"/>
              </w:rPr>
              <w:t>Charakterystyka LGD</w:t>
            </w:r>
            <w:r>
              <w:rPr>
                <w:rFonts w:ascii="Verdana" w:hAnsi="Verdana" w:cs="Verdana"/>
                <w:sz w:val="20"/>
                <w:szCs w:val="20"/>
              </w:rPr>
              <w:t>.</w:t>
            </w:r>
          </w:p>
        </w:tc>
        <w:tc>
          <w:tcPr>
            <w:tcW w:w="3969" w:type="dxa"/>
            <w:tcBorders>
              <w:top w:val="single" w:sz="4" w:space="0" w:color="000000"/>
              <w:left w:val="single" w:sz="8" w:space="0" w:color="000000"/>
              <w:bottom w:val="single" w:sz="4" w:space="0" w:color="000000"/>
              <w:right w:val="nil"/>
            </w:tcBorders>
          </w:tcPr>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pozytywne oddziaływanie operacji na dwie ze zidentyfikowanych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3 </w:t>
            </w:r>
            <w:proofErr w:type="spellStart"/>
            <w:r>
              <w:rPr>
                <w:rFonts w:ascii="Verdana" w:hAnsi="Verdana" w:cs="Verdana"/>
                <w:b/>
                <w:sz w:val="20"/>
                <w:szCs w:val="20"/>
              </w:rPr>
              <w:t>pkt</w:t>
            </w:r>
            <w:proofErr w:type="spellEnd"/>
            <w:r>
              <w:rPr>
                <w:rFonts w:ascii="Verdana" w:hAnsi="Verdana" w:cs="Verdana"/>
                <w:sz w:val="20"/>
                <w:szCs w:val="20"/>
              </w:rPr>
              <w:t xml:space="preserve"> - pozytywne oddziaływanie operacji na jedną ze zidentyfikowanych grup </w:t>
            </w:r>
            <w:proofErr w:type="spellStart"/>
            <w:r>
              <w:rPr>
                <w:rFonts w:ascii="Verdana" w:hAnsi="Verdana" w:cs="Verdana"/>
                <w:sz w:val="20"/>
                <w:szCs w:val="20"/>
              </w:rPr>
              <w:t>defaworyzowanych</w:t>
            </w:r>
            <w:proofErr w:type="spellEnd"/>
            <w:r>
              <w:rPr>
                <w:rFonts w:ascii="Verdana" w:hAnsi="Verdana" w:cs="Verdana"/>
                <w:sz w:val="20"/>
                <w:szCs w:val="20"/>
              </w:rPr>
              <w:t xml:space="preserve"> na obszarze LSR</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lastRenderedPageBreak/>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brak oddziaływania operacji na grupę </w:t>
            </w:r>
            <w:proofErr w:type="spellStart"/>
            <w:r>
              <w:rPr>
                <w:rFonts w:ascii="Verdana" w:hAnsi="Verdana" w:cs="Verdana"/>
                <w:sz w:val="20"/>
                <w:szCs w:val="20"/>
              </w:rPr>
              <w:t>defaworyzowaną</w:t>
            </w:r>
            <w:proofErr w:type="spellEnd"/>
            <w:r>
              <w:rPr>
                <w:rFonts w:ascii="Verdana" w:hAnsi="Verdana" w:cs="Verdana"/>
                <w:sz w:val="20"/>
                <w:szCs w:val="20"/>
              </w:rPr>
              <w:t xml:space="preserve"> na obszarze LSR</w:t>
            </w:r>
          </w:p>
          <w:p w:rsidR="00E83F8D" w:rsidRDefault="00E83F8D" w:rsidP="00742760">
            <w:pPr>
              <w:spacing w:after="0" w:line="240" w:lineRule="auto"/>
              <w:rPr>
                <w:rFonts w:ascii="Verdana" w:hAnsi="Verdana" w:cs="Verdana"/>
                <w:sz w:val="20"/>
                <w:szCs w:val="20"/>
              </w:rPr>
            </w:pPr>
          </w:p>
        </w:tc>
        <w:tc>
          <w:tcPr>
            <w:tcW w:w="2658" w:type="dxa"/>
            <w:tcBorders>
              <w:top w:val="single" w:sz="4" w:space="0" w:color="000000"/>
              <w:left w:val="single" w:sz="8" w:space="0" w:color="000000"/>
              <w:bottom w:val="single" w:sz="4" w:space="0" w:color="000000"/>
              <w:right w:val="single" w:sz="4" w:space="0" w:color="000000"/>
            </w:tcBorders>
          </w:tcPr>
          <w:p w:rsidR="00E83F8D" w:rsidRDefault="00E83F8D" w:rsidP="00742760">
            <w:pPr>
              <w:spacing w:after="0" w:line="240" w:lineRule="auto"/>
            </w:pPr>
            <w:r>
              <w:rPr>
                <w:rFonts w:ascii="Verdana" w:hAnsi="Verdana" w:cs="Verdana"/>
                <w:sz w:val="20"/>
                <w:szCs w:val="20"/>
              </w:rPr>
              <w:lastRenderedPageBreak/>
              <w:t>Wniosek o przyznanie pomocy w ramach LSR</w:t>
            </w:r>
          </w:p>
          <w:p w:rsidR="00E83F8D" w:rsidRDefault="00E83F8D" w:rsidP="00742760"/>
          <w:p w:rsidR="00E83F8D" w:rsidRDefault="00E83F8D" w:rsidP="00742760">
            <w:r>
              <w:rPr>
                <w:rFonts w:ascii="Verdana" w:hAnsi="Verdana" w:cs="Verdana"/>
                <w:b/>
                <w:sz w:val="20"/>
                <w:szCs w:val="20"/>
              </w:rPr>
              <w:t>DOTYCZY PRZEDSIĘWZIĘCIA</w:t>
            </w:r>
          </w:p>
        </w:tc>
      </w:tr>
      <w:tr w:rsidR="00E83F8D" w:rsidTr="00742760">
        <w:tc>
          <w:tcPr>
            <w:tcW w:w="2431" w:type="dxa"/>
            <w:tcBorders>
              <w:top w:val="single" w:sz="4" w:space="0" w:color="000000"/>
              <w:left w:val="single" w:sz="8" w:space="0" w:color="000000"/>
              <w:bottom w:val="single" w:sz="4" w:space="0" w:color="000000"/>
              <w:right w:val="nil"/>
            </w:tcBorders>
            <w:shd w:val="clear" w:color="auto" w:fill="auto"/>
            <w:hideMark/>
          </w:tcPr>
          <w:p w:rsidR="00E83F8D" w:rsidRDefault="00E83F8D" w:rsidP="00742760">
            <w:pPr>
              <w:spacing w:after="0" w:line="240" w:lineRule="auto"/>
              <w:rPr>
                <w:rFonts w:ascii="Verdana" w:hAnsi="Verdana" w:cs="Verdana"/>
                <w:sz w:val="20"/>
                <w:szCs w:val="20"/>
              </w:rPr>
            </w:pPr>
            <w:r>
              <w:rPr>
                <w:rFonts w:ascii="Verdana" w:hAnsi="Verdana" w:cs="Verdana"/>
                <w:b/>
                <w:bCs/>
                <w:sz w:val="20"/>
                <w:szCs w:val="20"/>
              </w:rPr>
              <w:lastRenderedPageBreak/>
              <w:t>VI. Wkład własny wnioskodawcy w finansowanie projektu</w:t>
            </w:r>
            <w:r>
              <w:rPr>
                <w:rFonts w:ascii="Sylfaen" w:hAnsi="Sylfaen" w:cs="Verdana"/>
                <w:b/>
                <w:bCs/>
                <w:sz w:val="20"/>
                <w:szCs w:val="20"/>
              </w:rPr>
              <w:t>*</w:t>
            </w:r>
          </w:p>
        </w:tc>
        <w:tc>
          <w:tcPr>
            <w:tcW w:w="5190" w:type="dxa"/>
            <w:tcBorders>
              <w:top w:val="single" w:sz="4" w:space="0" w:color="000000"/>
              <w:left w:val="single" w:sz="8" w:space="0" w:color="000000"/>
              <w:bottom w:val="single" w:sz="4" w:space="0" w:color="000000"/>
              <w:right w:val="nil"/>
            </w:tcBorders>
            <w:shd w:val="clear" w:color="auto" w:fill="auto"/>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69" w:type="dxa"/>
            <w:tcBorders>
              <w:top w:val="single" w:sz="4" w:space="0" w:color="000000"/>
              <w:left w:val="single" w:sz="8" w:space="0" w:color="000000"/>
              <w:bottom w:val="single" w:sz="4" w:space="0" w:color="000000"/>
              <w:right w:val="nil"/>
            </w:tcBorders>
            <w:shd w:val="clear" w:color="auto" w:fill="auto"/>
            <w:hideMark/>
          </w:tcPr>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więcej niż 10 </w:t>
            </w:r>
            <w:proofErr w:type="spellStart"/>
            <w:r>
              <w:rPr>
                <w:rFonts w:ascii="Verdana" w:hAnsi="Verdana" w:cs="Verdana"/>
                <w:sz w:val="20"/>
                <w:szCs w:val="20"/>
              </w:rPr>
              <w:t>p.p</w:t>
            </w:r>
            <w:proofErr w:type="spellEnd"/>
            <w:r>
              <w:rPr>
                <w:rFonts w:ascii="Verdana" w:hAnsi="Verdana" w:cs="Verdana"/>
                <w:sz w:val="20"/>
                <w:szCs w:val="20"/>
              </w:rPr>
              <w:t xml:space="preserve">.  </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4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wartość w przedziale 5-10 </w:t>
            </w:r>
            <w:proofErr w:type="spellStart"/>
            <w:r>
              <w:rPr>
                <w:rFonts w:ascii="Verdana" w:hAnsi="Verdana" w:cs="Verdana"/>
                <w:sz w:val="20"/>
                <w:szCs w:val="20"/>
              </w:rPr>
              <w:t>p.p</w:t>
            </w:r>
            <w:proofErr w:type="spellEnd"/>
            <w:r>
              <w:rPr>
                <w:rFonts w:ascii="Verdana" w:hAnsi="Verdana" w:cs="Verdana"/>
                <w:sz w:val="20"/>
                <w:szCs w:val="20"/>
              </w:rPr>
              <w:t>.</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(włącznie)</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2 </w:t>
            </w:r>
            <w:proofErr w:type="spellStart"/>
            <w:r>
              <w:rPr>
                <w:rFonts w:ascii="Verdana" w:hAnsi="Verdana" w:cs="Verdana"/>
                <w:b/>
                <w:sz w:val="20"/>
                <w:szCs w:val="20"/>
              </w:rPr>
              <w:t>pkt</w:t>
            </w:r>
            <w:proofErr w:type="spellEnd"/>
            <w:r>
              <w:rPr>
                <w:rFonts w:ascii="Verdana" w:hAnsi="Verdana" w:cs="Verdana"/>
                <w:sz w:val="20"/>
                <w:szCs w:val="20"/>
              </w:rPr>
              <w:t xml:space="preserve"> - deklarowany wkład własny jest wyższy od minimalnego o max 5 </w:t>
            </w:r>
            <w:proofErr w:type="spellStart"/>
            <w:r>
              <w:rPr>
                <w:rFonts w:ascii="Verdana" w:hAnsi="Verdana" w:cs="Verdana"/>
                <w:sz w:val="20"/>
                <w:szCs w:val="20"/>
              </w:rPr>
              <w:t>p.p</w:t>
            </w:r>
            <w:proofErr w:type="spellEnd"/>
            <w:r>
              <w:rPr>
                <w:rFonts w:ascii="Verdana" w:hAnsi="Verdana" w:cs="Verdana"/>
                <w:sz w:val="20"/>
                <w:szCs w:val="20"/>
              </w:rPr>
              <w:t>. (włącznie)</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shd w:val="clear" w:color="auto" w:fill="auto"/>
          </w:tcPr>
          <w:p w:rsidR="00E83F8D" w:rsidRDefault="00E83F8D" w:rsidP="00742760">
            <w:pPr>
              <w:spacing w:after="0" w:line="240" w:lineRule="auto"/>
            </w:pPr>
            <w:r>
              <w:rPr>
                <w:rFonts w:ascii="Verdana" w:hAnsi="Verdana" w:cs="Verdana"/>
                <w:sz w:val="20"/>
                <w:szCs w:val="20"/>
              </w:rPr>
              <w:t>Wniosek o przyznanie pomocy w ramach LSR</w:t>
            </w:r>
          </w:p>
          <w:p w:rsidR="00E83F8D" w:rsidRDefault="00E83F8D" w:rsidP="00742760"/>
          <w:p w:rsidR="00E83F8D" w:rsidRDefault="00E83F8D" w:rsidP="00742760"/>
          <w:p w:rsidR="00E83F8D" w:rsidRDefault="00E83F8D" w:rsidP="00742760"/>
          <w:p w:rsidR="00E83F8D" w:rsidRDefault="00E83F8D" w:rsidP="00742760">
            <w:pPr>
              <w:rPr>
                <w:color w:val="FF0000"/>
              </w:rPr>
            </w:pPr>
            <w:r>
              <w:rPr>
                <w:rFonts w:ascii="Verdana" w:hAnsi="Verdana" w:cs="Verdana"/>
                <w:b/>
                <w:sz w:val="20"/>
                <w:szCs w:val="20"/>
              </w:rPr>
              <w:t xml:space="preserve"> DOTYCZY PRZEDSIĘWZIĘCIA</w:t>
            </w:r>
          </w:p>
          <w:p w:rsidR="00E83F8D" w:rsidRDefault="00E83F8D" w:rsidP="00742760">
            <w:pPr>
              <w:ind w:firstLine="708"/>
            </w:pPr>
          </w:p>
        </w:tc>
      </w:tr>
      <w:tr w:rsidR="00E83F8D" w:rsidTr="00742760">
        <w:trPr>
          <w:gridAfter w:val="1"/>
          <w:wAfter w:w="30" w:type="dxa"/>
        </w:trPr>
        <w:tc>
          <w:tcPr>
            <w:tcW w:w="2431" w:type="dxa"/>
            <w:tcBorders>
              <w:top w:val="single" w:sz="4" w:space="0" w:color="000000"/>
              <w:left w:val="single" w:sz="4" w:space="0" w:color="000000"/>
              <w:bottom w:val="single" w:sz="4"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b/>
                <w:bCs/>
                <w:sz w:val="20"/>
                <w:szCs w:val="20"/>
              </w:rPr>
              <w:t>VII. Wpływ operacji na osiągnięcie wskaźników LSR</w:t>
            </w:r>
          </w:p>
        </w:tc>
        <w:tc>
          <w:tcPr>
            <w:tcW w:w="5190" w:type="dxa"/>
            <w:tcBorders>
              <w:top w:val="single" w:sz="4" w:space="0" w:color="000000"/>
              <w:left w:val="single" w:sz="4" w:space="0" w:color="000000"/>
              <w:bottom w:val="single" w:sz="4"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t>
            </w:r>
          </w:p>
        </w:tc>
        <w:tc>
          <w:tcPr>
            <w:tcW w:w="3969" w:type="dxa"/>
            <w:tcBorders>
              <w:top w:val="single" w:sz="4" w:space="0" w:color="000000"/>
              <w:left w:val="single" w:sz="4" w:space="0" w:color="000000"/>
              <w:bottom w:val="single" w:sz="4"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sz w:val="20"/>
                <w:szCs w:val="20"/>
              </w:rPr>
              <w:t xml:space="preserve"> - operacja pozytywnie wpływa na osiągniecie wskaźników produktu i rezultatu LSR</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operacja nie wpływa pozytywnie lub jest neutralna dla realizacji wskaźników produktu i rezultatu LSR</w:t>
            </w:r>
          </w:p>
        </w:tc>
        <w:tc>
          <w:tcPr>
            <w:tcW w:w="2658" w:type="dxa"/>
            <w:tcBorders>
              <w:top w:val="single" w:sz="4" w:space="0" w:color="000000"/>
              <w:left w:val="single" w:sz="4" w:space="0" w:color="000000"/>
              <w:bottom w:val="single" w:sz="4" w:space="0" w:color="000000"/>
              <w:right w:val="single" w:sz="4" w:space="0" w:color="000000"/>
            </w:tcBorders>
          </w:tcPr>
          <w:p w:rsidR="00E83F8D" w:rsidRDefault="00E83F8D" w:rsidP="00742760">
            <w:pPr>
              <w:spacing w:after="0" w:line="240" w:lineRule="auto"/>
            </w:pPr>
            <w:r>
              <w:rPr>
                <w:rFonts w:ascii="Verdana" w:hAnsi="Verdana" w:cs="Verdana"/>
                <w:sz w:val="20"/>
                <w:szCs w:val="20"/>
              </w:rPr>
              <w:t>Wniosek o przyznanie pomocy w ramach LSR</w:t>
            </w:r>
          </w:p>
          <w:p w:rsidR="00E83F8D" w:rsidRDefault="00E83F8D" w:rsidP="00742760"/>
          <w:p w:rsidR="00E83F8D" w:rsidRDefault="00E83F8D" w:rsidP="00742760">
            <w:r>
              <w:rPr>
                <w:rFonts w:ascii="Verdana" w:hAnsi="Verdana" w:cs="Verdana"/>
                <w:b/>
                <w:sz w:val="20"/>
                <w:szCs w:val="20"/>
              </w:rPr>
              <w:t>DOTYCZY PRZEDSIĘWZIĘCIA</w:t>
            </w:r>
          </w:p>
        </w:tc>
      </w:tr>
    </w:tbl>
    <w:p w:rsidR="00E83F8D" w:rsidRDefault="00E83F8D" w:rsidP="00E83F8D"/>
    <w:tbl>
      <w:tblPr>
        <w:tblW w:w="14250" w:type="dxa"/>
        <w:tblInd w:w="-118" w:type="dxa"/>
        <w:tblLayout w:type="fixed"/>
        <w:tblCellMar>
          <w:left w:w="0" w:type="dxa"/>
          <w:right w:w="0" w:type="dxa"/>
        </w:tblCellMar>
        <w:tblLook w:val="04A0"/>
      </w:tblPr>
      <w:tblGrid>
        <w:gridCol w:w="2431"/>
        <w:gridCol w:w="5206"/>
        <w:gridCol w:w="3955"/>
        <w:gridCol w:w="2658"/>
      </w:tblGrid>
      <w:tr w:rsidR="00E83F8D" w:rsidTr="00742760">
        <w:tc>
          <w:tcPr>
            <w:tcW w:w="2431" w:type="dxa"/>
            <w:tcBorders>
              <w:top w:val="single" w:sz="4" w:space="0" w:color="000000"/>
              <w:left w:val="single" w:sz="4" w:space="0" w:color="000000"/>
              <w:bottom w:val="single" w:sz="4"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b/>
                <w:bCs/>
                <w:sz w:val="20"/>
                <w:szCs w:val="20"/>
              </w:rPr>
              <w:lastRenderedPageBreak/>
              <w:t xml:space="preserve">VIII.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tcBorders>
              <w:top w:val="single" w:sz="4" w:space="0" w:color="000000"/>
              <w:left w:val="single" w:sz="4" w:space="0" w:color="000000"/>
              <w:bottom w:val="single" w:sz="4"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Preferuje się operacje komplementarne i zintegrowane z innymi programami pomocowymi. W ramach LSR można wskazać komplementarność międzyprogramową, terytorialną bądź sektorową projektów LSR z innymi projektami realizowanymi 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 xml:space="preserve">W przypadku projektów składanych przez wnioskodawców w ramach operacji na rozwój przedsiębiorczości w ramach podejmowania działalności gospodarczej lub rozwoju działalności gospodarczej wykazać należy komplementarne projekty innych podmiotów w stosunku do </w:t>
            </w:r>
            <w:r>
              <w:rPr>
                <w:rFonts w:ascii="Verdana" w:hAnsi="Verdana" w:cs="Verdana"/>
                <w:sz w:val="20"/>
                <w:szCs w:val="20"/>
              </w:rPr>
              <w:lastRenderedPageBreak/>
              <w:t>planowanej przez Wnioskodawcę operacji. Komplementarne projekty/ przedsięwzięcia mogą być finansowane z różnych źródeł np. fundusze</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i inwestycyjny. Realizatorem projektów mogą być 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z ocenianym projektem m.in. poprzez:</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 rozwiązywanie tego samego PROBLEMU,</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 realizację wspólnego CELU,</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 wzajemne uzupełnianie się DZIAŁAŃ,</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 osiąganie wspólnych REZULTATÓW,</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4" w:type="dxa"/>
            <w:tcBorders>
              <w:top w:val="single" w:sz="4" w:space="0" w:color="000000"/>
              <w:left w:val="single" w:sz="4" w:space="0" w:color="000000"/>
              <w:bottom w:val="single" w:sz="4" w:space="0" w:color="000000"/>
              <w:right w:val="nil"/>
            </w:tcBorders>
            <w:hideMark/>
          </w:tcPr>
          <w:p w:rsidR="00E83F8D" w:rsidRDefault="00E83F8D" w:rsidP="00742760">
            <w:pPr>
              <w:spacing w:after="0" w:line="240" w:lineRule="auto"/>
              <w:rPr>
                <w:rFonts w:ascii="Verdana" w:hAnsi="Verdana" w:cs="Verdana"/>
                <w:sz w:val="20"/>
                <w:szCs w:val="20"/>
              </w:rPr>
            </w:pPr>
            <w:r>
              <w:rPr>
                <w:rFonts w:ascii="Verdana" w:hAnsi="Verdana" w:cs="Verdana"/>
                <w:b/>
                <w:sz w:val="20"/>
                <w:szCs w:val="20"/>
              </w:rPr>
              <w:lastRenderedPageBreak/>
              <w:t xml:space="preserve">2,5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przy realizacji projektu będą wykorzystywane efekty realizacji innego projektu lub nastąpi</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wzmocnienie trwałości efektów jednego przedsięwzięcia realizacją innego</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2,5 </w:t>
            </w:r>
            <w:proofErr w:type="spellStart"/>
            <w:r>
              <w:rPr>
                <w:rFonts w:ascii="Verdana" w:hAnsi="Verdana" w:cs="Verdana"/>
                <w:b/>
                <w:sz w:val="20"/>
                <w:szCs w:val="20"/>
              </w:rPr>
              <w:t>pkt</w:t>
            </w:r>
            <w:proofErr w:type="spellEnd"/>
            <w:r>
              <w:rPr>
                <w:rFonts w:ascii="Verdana" w:hAnsi="Verdana" w:cs="Verdana"/>
                <w:sz w:val="20"/>
                <w:szCs w:val="20"/>
              </w:rPr>
              <w:t xml:space="preserve"> - realizacja projektu jest uzupełnieniem innego przedsięwzięcia/ projektu</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2,5 </w:t>
            </w:r>
            <w:proofErr w:type="spellStart"/>
            <w:r>
              <w:rPr>
                <w:rFonts w:ascii="Verdana" w:hAnsi="Verdana" w:cs="Verdana"/>
                <w:b/>
                <w:sz w:val="20"/>
                <w:szCs w:val="20"/>
              </w:rPr>
              <w:t>pkt</w:t>
            </w:r>
            <w:proofErr w:type="spellEnd"/>
            <w:r>
              <w:rPr>
                <w:rFonts w:ascii="Verdana" w:hAnsi="Verdana" w:cs="Verdana"/>
                <w:sz w:val="20"/>
                <w:szCs w:val="20"/>
              </w:rPr>
              <w:t xml:space="preserve"> - projekt jest elementem szerszej strategii realizowanej przez szereg projektów komplementarnych </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2,5 </w:t>
            </w:r>
            <w:proofErr w:type="spellStart"/>
            <w:r>
              <w:rPr>
                <w:rFonts w:ascii="Verdana" w:hAnsi="Verdana" w:cs="Verdana"/>
                <w:b/>
                <w:sz w:val="20"/>
                <w:szCs w:val="20"/>
              </w:rPr>
              <w:t>pkt</w:t>
            </w:r>
            <w:proofErr w:type="spellEnd"/>
            <w:r>
              <w:rPr>
                <w:rFonts w:ascii="Verdana" w:hAnsi="Verdana" w:cs="Verdana"/>
                <w:sz w:val="20"/>
                <w:szCs w:val="20"/>
              </w:rPr>
              <w:t xml:space="preserve"> - projekt stanowi ostatni etap szerszego przedsięwzięcia lub kontynuację wcześniej</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realizowanych przedsięwzięć</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nie wykazano komplementarności projektu z innymi projektami </w:t>
            </w:r>
          </w:p>
          <w:p w:rsidR="00E83F8D" w:rsidRDefault="00E83F8D" w:rsidP="00742760">
            <w:pPr>
              <w:spacing w:after="0" w:line="240" w:lineRule="auto"/>
              <w:rPr>
                <w:rFonts w:ascii="Verdana" w:hAnsi="Verdana" w:cs="Verdana"/>
                <w:b/>
                <w:i/>
                <w:sz w:val="20"/>
                <w:szCs w:val="20"/>
              </w:rPr>
            </w:pPr>
            <w:r>
              <w:rPr>
                <w:rFonts w:ascii="Verdana" w:hAnsi="Verdana" w:cs="Verdana"/>
                <w:b/>
                <w:i/>
                <w:sz w:val="20"/>
                <w:szCs w:val="20"/>
              </w:rPr>
              <w:t xml:space="preserve">Maksymalnie w ramach kryterium można otrzymać 10 pkt. </w:t>
            </w:r>
            <w:r>
              <w:rPr>
                <w:rFonts w:ascii="Verdana" w:hAnsi="Verdana" w:cs="Verdana"/>
                <w:b/>
                <w:i/>
                <w:sz w:val="20"/>
                <w:szCs w:val="20"/>
                <w:highlight w:val="yellow"/>
              </w:rPr>
              <w:t>(punkty sumuje się)</w:t>
            </w:r>
          </w:p>
        </w:tc>
        <w:tc>
          <w:tcPr>
            <w:tcW w:w="2658" w:type="dxa"/>
            <w:tcBorders>
              <w:top w:val="single" w:sz="4" w:space="0" w:color="000000"/>
              <w:left w:val="single" w:sz="4" w:space="0" w:color="000000"/>
              <w:bottom w:val="single" w:sz="4" w:space="0" w:color="000000"/>
              <w:right w:val="single" w:sz="4" w:space="0" w:color="000000"/>
            </w:tcBorders>
          </w:tcPr>
          <w:p w:rsidR="00E83F8D" w:rsidRDefault="00E83F8D" w:rsidP="00742760">
            <w:pPr>
              <w:spacing w:after="0" w:line="240" w:lineRule="auto"/>
            </w:pPr>
            <w:r>
              <w:rPr>
                <w:rFonts w:ascii="Verdana" w:hAnsi="Verdana" w:cs="Verdana"/>
                <w:sz w:val="20"/>
                <w:szCs w:val="20"/>
              </w:rPr>
              <w:t xml:space="preserve">Wniosek o przyznanie pomocy w ramach LSR  + dodatkowe dokumenty wnioskodawcy potwierdzające komplementarność projektu </w:t>
            </w:r>
          </w:p>
          <w:p w:rsidR="00E83F8D" w:rsidRDefault="00E83F8D" w:rsidP="00742760"/>
          <w:p w:rsidR="00E83F8D" w:rsidRDefault="00E83F8D" w:rsidP="00742760"/>
          <w:p w:rsidR="00E83F8D" w:rsidRDefault="00E83F8D" w:rsidP="00742760">
            <w:r>
              <w:rPr>
                <w:rFonts w:ascii="Verdana" w:hAnsi="Verdana" w:cs="Verdana"/>
                <w:b/>
                <w:sz w:val="20"/>
                <w:szCs w:val="20"/>
              </w:rPr>
              <w:t>DOTYCZY PRZEDSIĘWZIĘCIA</w:t>
            </w:r>
          </w:p>
        </w:tc>
      </w:tr>
    </w:tbl>
    <w:p w:rsidR="00E83F8D" w:rsidRDefault="00E83F8D" w:rsidP="00E83F8D">
      <w:pPr>
        <w:jc w:val="center"/>
        <w:rPr>
          <w:rFonts w:ascii="Verdana" w:hAnsi="Verdana" w:cs="Verdana"/>
          <w:b/>
          <w:bCs/>
          <w:sz w:val="20"/>
          <w:szCs w:val="20"/>
        </w:rPr>
      </w:pPr>
      <w:r>
        <w:rPr>
          <w:rFonts w:ascii="Verdana" w:hAnsi="Verdana" w:cs="Verdana"/>
          <w:sz w:val="20"/>
          <w:szCs w:val="20"/>
        </w:rPr>
        <w:lastRenderedPageBreak/>
        <w:t>KRYTERIA OBLIGATORYJNE W ODNIESIENIU DO NABORÓW OGŁASZANYCH W ZAKRESIE ROZWOJU PRZEDSIĘBIORCZOŚCI NA OBSZARZE WIEJSKIM</w:t>
      </w:r>
    </w:p>
    <w:tbl>
      <w:tblPr>
        <w:tblW w:w="0" w:type="auto"/>
        <w:tblInd w:w="-118" w:type="dxa"/>
        <w:tblLayout w:type="fixed"/>
        <w:tblCellMar>
          <w:left w:w="0" w:type="dxa"/>
          <w:right w:w="0" w:type="dxa"/>
        </w:tblCellMar>
        <w:tblLook w:val="04A0"/>
      </w:tblPr>
      <w:tblGrid>
        <w:gridCol w:w="2431"/>
        <w:gridCol w:w="5190"/>
        <w:gridCol w:w="3969"/>
        <w:gridCol w:w="2658"/>
      </w:tblGrid>
      <w:tr w:rsidR="00E83F8D" w:rsidTr="00742760">
        <w:tc>
          <w:tcPr>
            <w:tcW w:w="2431" w:type="dxa"/>
            <w:tcBorders>
              <w:top w:val="single" w:sz="4" w:space="0" w:color="000000"/>
              <w:left w:val="single" w:sz="4" w:space="0" w:color="000000"/>
              <w:bottom w:val="single" w:sz="4" w:space="0" w:color="000000"/>
              <w:right w:val="nil"/>
            </w:tcBorders>
            <w:shd w:val="clear" w:color="auto" w:fill="EEECE1" w:themeFill="background2"/>
            <w:hideMark/>
          </w:tcPr>
          <w:p w:rsidR="00E83F8D" w:rsidRDefault="00E83F8D" w:rsidP="00742760">
            <w:pPr>
              <w:spacing w:after="0" w:line="240" w:lineRule="auto"/>
              <w:rPr>
                <w:rFonts w:ascii="Verdana" w:hAnsi="Verdana" w:cs="Verdana"/>
                <w:sz w:val="20"/>
                <w:szCs w:val="20"/>
              </w:rPr>
            </w:pPr>
            <w:r>
              <w:rPr>
                <w:rFonts w:ascii="Verdana" w:hAnsi="Verdana" w:cs="Verdana"/>
                <w:b/>
                <w:bCs/>
                <w:sz w:val="20"/>
                <w:szCs w:val="20"/>
              </w:rPr>
              <w:t>I. Powstanie dodatkowych nowych miejsc pracy</w:t>
            </w:r>
            <w:r>
              <w:rPr>
                <w:rFonts w:ascii="Sylfaen" w:hAnsi="Sylfaen" w:cs="Verdana"/>
                <w:b/>
                <w:bCs/>
                <w:sz w:val="20"/>
                <w:szCs w:val="20"/>
              </w:rPr>
              <w:t>*</w:t>
            </w:r>
            <w:r>
              <w:rPr>
                <w:rFonts w:ascii="Verdana" w:hAnsi="Verdana" w:cs="Verdana"/>
                <w:b/>
                <w:bCs/>
                <w:sz w:val="20"/>
                <w:szCs w:val="20"/>
              </w:rPr>
              <w:t xml:space="preserve">     </w:t>
            </w:r>
          </w:p>
        </w:tc>
        <w:tc>
          <w:tcPr>
            <w:tcW w:w="5190" w:type="dxa"/>
            <w:tcBorders>
              <w:top w:val="single" w:sz="4" w:space="0" w:color="000000"/>
              <w:left w:val="single" w:sz="8" w:space="0" w:color="000000"/>
              <w:bottom w:val="single" w:sz="4" w:space="0" w:color="000000"/>
              <w:right w:val="nil"/>
            </w:tcBorders>
            <w:shd w:val="clear" w:color="auto" w:fill="EEECE1" w:themeFill="background2"/>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 xml:space="preserve">Preferuje się operacje zakładające tworzenie nowych miejsc pracy w ciągu całego okresu trwałości projektu ponad minimum wymagane dla danego typu operacji. Do wyliczeń stosuje się </w:t>
            </w:r>
            <w:r>
              <w:rPr>
                <w:rFonts w:ascii="Verdana" w:hAnsi="Verdana" w:cs="Verdana"/>
                <w:sz w:val="20"/>
                <w:szCs w:val="20"/>
              </w:rPr>
              <w:lastRenderedPageBreak/>
              <w:t>metodę RJR (Rocznych Jednostek Roboczych).</w:t>
            </w:r>
          </w:p>
        </w:tc>
        <w:tc>
          <w:tcPr>
            <w:tcW w:w="3969" w:type="dxa"/>
            <w:tcBorders>
              <w:top w:val="single" w:sz="4" w:space="0" w:color="000000"/>
              <w:left w:val="single" w:sz="8" w:space="0" w:color="000000"/>
              <w:bottom w:val="single" w:sz="4" w:space="0" w:color="000000"/>
              <w:right w:val="nil"/>
            </w:tcBorders>
            <w:shd w:val="clear" w:color="auto" w:fill="EEECE1" w:themeFill="background2"/>
            <w:hideMark/>
          </w:tcPr>
          <w:p w:rsidR="00E83F8D" w:rsidRDefault="00E83F8D" w:rsidP="00742760">
            <w:pPr>
              <w:tabs>
                <w:tab w:val="left" w:pos="0"/>
              </w:tabs>
              <w:spacing w:after="0" w:line="240" w:lineRule="auto"/>
              <w:rPr>
                <w:rFonts w:ascii="Verdana" w:hAnsi="Verdana" w:cs="Verdana"/>
                <w:sz w:val="20"/>
                <w:szCs w:val="20"/>
              </w:rPr>
            </w:pPr>
            <w:r>
              <w:rPr>
                <w:rFonts w:ascii="Verdana" w:hAnsi="Verdana" w:cs="Verdana"/>
                <w:b/>
                <w:sz w:val="20"/>
                <w:szCs w:val="20"/>
              </w:rPr>
              <w:lastRenderedPageBreak/>
              <w:t xml:space="preserve">7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powyżej 2.50</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6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w ilości powyżej 2.00 do 2.50 </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5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w ilości powyżej 1.50 do 2.00</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4 </w:t>
            </w:r>
            <w:proofErr w:type="spellStart"/>
            <w:r>
              <w:rPr>
                <w:rFonts w:ascii="Verdana" w:hAnsi="Verdana" w:cs="Verdana"/>
                <w:b/>
                <w:sz w:val="20"/>
                <w:szCs w:val="20"/>
              </w:rPr>
              <w:t>pkt</w:t>
            </w:r>
            <w:proofErr w:type="spellEnd"/>
            <w:r>
              <w:rPr>
                <w:rFonts w:ascii="Verdana" w:hAnsi="Verdana" w:cs="Verdana"/>
                <w:b/>
                <w:sz w:val="20"/>
                <w:szCs w:val="20"/>
              </w:rPr>
              <w:t xml:space="preserve"> -</w:t>
            </w:r>
            <w:r>
              <w:rPr>
                <w:rFonts w:ascii="Verdana" w:hAnsi="Verdana" w:cs="Verdana"/>
                <w:sz w:val="20"/>
                <w:szCs w:val="20"/>
              </w:rPr>
              <w:t xml:space="preserve"> w ilości powyżej 1.00 do 1.50 </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lastRenderedPageBreak/>
              <w:t xml:space="preserve">3 </w:t>
            </w:r>
            <w:proofErr w:type="spellStart"/>
            <w:r>
              <w:rPr>
                <w:rFonts w:ascii="Verdana" w:hAnsi="Verdana" w:cs="Verdana"/>
                <w:b/>
                <w:sz w:val="20"/>
                <w:szCs w:val="20"/>
              </w:rPr>
              <w:t>pkt</w:t>
            </w:r>
            <w:proofErr w:type="spellEnd"/>
            <w:r>
              <w:rPr>
                <w:rFonts w:ascii="Verdana" w:hAnsi="Verdana" w:cs="Verdana"/>
                <w:b/>
                <w:sz w:val="20"/>
                <w:szCs w:val="20"/>
              </w:rPr>
              <w:t xml:space="preserve"> - </w:t>
            </w:r>
            <w:r>
              <w:rPr>
                <w:rFonts w:ascii="Verdana" w:hAnsi="Verdana" w:cs="Verdana"/>
                <w:sz w:val="20"/>
                <w:szCs w:val="20"/>
              </w:rPr>
              <w:t>w ilości powyżej 0.50 do 1.00</w:t>
            </w:r>
          </w:p>
          <w:p w:rsidR="00E83F8D" w:rsidRDefault="00E83F8D" w:rsidP="00742760">
            <w:pPr>
              <w:spacing w:after="0" w:line="240" w:lineRule="auto"/>
              <w:rPr>
                <w:rFonts w:ascii="Verdana" w:hAnsi="Verdana" w:cs="Verdana"/>
                <w:sz w:val="20"/>
                <w:szCs w:val="20"/>
              </w:rPr>
            </w:pPr>
            <w:r>
              <w:rPr>
                <w:rFonts w:ascii="Verdana" w:hAnsi="Verdana" w:cs="Verdana"/>
                <w:b/>
                <w:sz w:val="20"/>
                <w:szCs w:val="20"/>
              </w:rPr>
              <w:t xml:space="preserve">0 </w:t>
            </w:r>
            <w:proofErr w:type="spellStart"/>
            <w:r>
              <w:rPr>
                <w:rFonts w:ascii="Verdana" w:hAnsi="Verdana" w:cs="Verdana"/>
                <w:b/>
                <w:sz w:val="20"/>
                <w:szCs w:val="20"/>
              </w:rPr>
              <w:t>pkt</w:t>
            </w:r>
            <w:proofErr w:type="spellEnd"/>
            <w:r>
              <w:rPr>
                <w:rFonts w:ascii="Verdana" w:hAnsi="Verdana" w:cs="Verdana"/>
                <w:sz w:val="20"/>
                <w:szCs w:val="20"/>
              </w:rPr>
              <w:t xml:space="preserve">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hideMark/>
          </w:tcPr>
          <w:p w:rsidR="00E83F8D" w:rsidRDefault="00E83F8D" w:rsidP="00742760">
            <w:pPr>
              <w:spacing w:after="0" w:line="240" w:lineRule="auto"/>
            </w:pPr>
            <w:r>
              <w:rPr>
                <w:rFonts w:ascii="Verdana" w:hAnsi="Verdana" w:cs="Verdana"/>
                <w:sz w:val="20"/>
                <w:szCs w:val="20"/>
              </w:rPr>
              <w:lastRenderedPageBreak/>
              <w:t>Wniosek o przyznanie pomocy w ramach LSR</w:t>
            </w:r>
          </w:p>
          <w:p w:rsidR="00E83F8D" w:rsidRDefault="00E83F8D" w:rsidP="00742760">
            <w:r>
              <w:rPr>
                <w:rFonts w:ascii="Verdana" w:hAnsi="Verdana" w:cs="Verdana"/>
                <w:b/>
                <w:color w:val="FF0000"/>
                <w:sz w:val="20"/>
                <w:szCs w:val="20"/>
              </w:rPr>
              <w:t xml:space="preserve">NIE DOTYCZY </w:t>
            </w:r>
            <w:r>
              <w:rPr>
                <w:rFonts w:ascii="Verdana" w:hAnsi="Verdana" w:cs="Verdana"/>
                <w:b/>
                <w:color w:val="FF0000"/>
                <w:sz w:val="20"/>
                <w:szCs w:val="20"/>
              </w:rPr>
              <w:lastRenderedPageBreak/>
              <w:t>PRZEDSIĘWZIĘCIA</w:t>
            </w:r>
          </w:p>
        </w:tc>
      </w:tr>
    </w:tbl>
    <w:p w:rsidR="00E83F8D" w:rsidRDefault="00E83F8D" w:rsidP="00E83F8D">
      <w:pPr>
        <w:rPr>
          <w:rFonts w:ascii="Verdana" w:hAnsi="Verdana" w:cs="Verdana"/>
          <w:sz w:val="20"/>
          <w:szCs w:val="20"/>
        </w:rPr>
      </w:pPr>
    </w:p>
    <w:p w:rsidR="00E83F8D" w:rsidRDefault="00E83F8D" w:rsidP="00E83F8D">
      <w:pPr>
        <w:jc w:val="center"/>
        <w:rPr>
          <w:rFonts w:ascii="Verdana" w:hAnsi="Verdana" w:cs="Verdana"/>
          <w:b/>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0" w:type="auto"/>
        <w:tblInd w:w="-118" w:type="dxa"/>
        <w:tblLayout w:type="fixed"/>
        <w:tblCellMar>
          <w:left w:w="0" w:type="dxa"/>
          <w:right w:w="0" w:type="dxa"/>
        </w:tblCellMar>
        <w:tblLook w:val="04A0"/>
      </w:tblPr>
      <w:tblGrid>
        <w:gridCol w:w="2431"/>
        <w:gridCol w:w="5190"/>
        <w:gridCol w:w="3969"/>
        <w:gridCol w:w="2658"/>
      </w:tblGrid>
      <w:tr w:rsidR="00E83F8D" w:rsidTr="00742760">
        <w:tc>
          <w:tcPr>
            <w:tcW w:w="2431" w:type="dxa"/>
            <w:tcBorders>
              <w:top w:val="single" w:sz="4" w:space="0" w:color="000000"/>
              <w:left w:val="single" w:sz="4" w:space="0" w:color="000000"/>
              <w:bottom w:val="single" w:sz="4" w:space="0" w:color="000000"/>
              <w:right w:val="nil"/>
            </w:tcBorders>
            <w:shd w:val="clear" w:color="auto" w:fill="EEECE1" w:themeFill="background2"/>
            <w:hideMark/>
          </w:tcPr>
          <w:p w:rsidR="00E83F8D" w:rsidRDefault="00E83F8D" w:rsidP="00742760">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r>
              <w:rPr>
                <w:rFonts w:ascii="Sylfaen" w:hAnsi="Sylfaen" w:cs="Verdana"/>
                <w:b/>
                <w:bCs/>
                <w:sz w:val="20"/>
                <w:szCs w:val="20"/>
              </w:rPr>
              <w:t>*</w:t>
            </w:r>
          </w:p>
        </w:tc>
        <w:tc>
          <w:tcPr>
            <w:tcW w:w="5190" w:type="dxa"/>
            <w:tcBorders>
              <w:top w:val="single" w:sz="4" w:space="0" w:color="000000"/>
              <w:left w:val="single" w:sz="8" w:space="0" w:color="000000"/>
              <w:bottom w:val="single" w:sz="4" w:space="0" w:color="000000"/>
              <w:right w:val="nil"/>
            </w:tcBorders>
            <w:shd w:val="clear" w:color="auto" w:fill="EEECE1" w:themeFill="background2"/>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tcBorders>
              <w:top w:val="single" w:sz="4" w:space="0" w:color="000000"/>
              <w:left w:val="single" w:sz="8" w:space="0" w:color="000000"/>
              <w:bottom w:val="single" w:sz="4" w:space="0" w:color="000000"/>
              <w:right w:val="nil"/>
            </w:tcBorders>
            <w:shd w:val="clear" w:color="auto" w:fill="EEECE1" w:themeFill="background2"/>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 xml:space="preserve">2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nie więcej niż 5 tys. mieszkańców </w:t>
            </w:r>
          </w:p>
          <w:p w:rsidR="00E83F8D" w:rsidRDefault="00E83F8D" w:rsidP="00742760">
            <w:pPr>
              <w:spacing w:after="0" w:line="240" w:lineRule="auto"/>
              <w:rPr>
                <w:rFonts w:ascii="Verdana" w:hAnsi="Verdana" w:cs="Verdana"/>
                <w:sz w:val="20"/>
                <w:szCs w:val="20"/>
              </w:rPr>
            </w:pPr>
            <w:r>
              <w:rPr>
                <w:rFonts w:ascii="Verdana" w:hAnsi="Verdana" w:cs="Verdana"/>
                <w:sz w:val="20"/>
                <w:szCs w:val="20"/>
              </w:rPr>
              <w:t xml:space="preserve">0 </w:t>
            </w:r>
            <w:proofErr w:type="spellStart"/>
            <w:r>
              <w:rPr>
                <w:rFonts w:ascii="Verdana" w:hAnsi="Verdana" w:cs="Verdana"/>
                <w:sz w:val="20"/>
                <w:szCs w:val="20"/>
              </w:rPr>
              <w:t>pkt</w:t>
            </w:r>
            <w:proofErr w:type="spellEnd"/>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shd w:val="clear" w:color="auto" w:fill="EEECE1" w:themeFill="background2"/>
            <w:hideMark/>
          </w:tcPr>
          <w:p w:rsidR="00E83F8D" w:rsidRDefault="00E83F8D" w:rsidP="00742760">
            <w:pPr>
              <w:spacing w:after="0" w:line="240" w:lineRule="auto"/>
              <w:rPr>
                <w:rFonts w:ascii="Verdana" w:hAnsi="Verdana" w:cs="Verdana"/>
                <w:sz w:val="20"/>
                <w:szCs w:val="20"/>
              </w:rPr>
            </w:pPr>
            <w:r>
              <w:rPr>
                <w:rFonts w:ascii="Verdana" w:hAnsi="Verdana" w:cs="Verdana"/>
                <w:sz w:val="20"/>
                <w:szCs w:val="20"/>
              </w:rPr>
              <w:t xml:space="preserve">Zaświadczenie od gminy potwierdzające liczbę mieszkańców miejscowości na terenie której będzie realizowana operacja </w:t>
            </w:r>
          </w:p>
          <w:p w:rsidR="00E83F8D" w:rsidRDefault="00E83F8D" w:rsidP="00742760">
            <w:pPr>
              <w:spacing w:after="0" w:line="240" w:lineRule="auto"/>
              <w:rPr>
                <w:color w:val="FF0000"/>
              </w:rPr>
            </w:pPr>
            <w:r>
              <w:rPr>
                <w:rFonts w:ascii="Verdana" w:hAnsi="Verdana" w:cs="Verdana"/>
                <w:b/>
                <w:color w:val="FF0000"/>
                <w:sz w:val="20"/>
                <w:szCs w:val="20"/>
              </w:rPr>
              <w:t xml:space="preserve"> NIE DOTYCZY PRZEDSIĘWZIĘCIA</w:t>
            </w:r>
          </w:p>
        </w:tc>
      </w:tr>
    </w:tbl>
    <w:tbl>
      <w:tblPr>
        <w:tblStyle w:val="Tabela-Siatka"/>
        <w:tblW w:w="14283" w:type="dxa"/>
        <w:tblLook w:val="04A0"/>
      </w:tblPr>
      <w:tblGrid>
        <w:gridCol w:w="7621"/>
        <w:gridCol w:w="3969"/>
        <w:gridCol w:w="2693"/>
      </w:tblGrid>
      <w:tr w:rsidR="00E83F8D" w:rsidTr="00742760">
        <w:tc>
          <w:tcPr>
            <w:tcW w:w="7621" w:type="dxa"/>
            <w:tcBorders>
              <w:top w:val="single" w:sz="4" w:space="0" w:color="auto"/>
              <w:left w:val="single" w:sz="4" w:space="0" w:color="auto"/>
              <w:bottom w:val="single" w:sz="4" w:space="0" w:color="auto"/>
              <w:right w:val="single" w:sz="4" w:space="0" w:color="auto"/>
            </w:tcBorders>
            <w:hideMark/>
          </w:tcPr>
          <w:p w:rsidR="00E83F8D" w:rsidRDefault="00E83F8D" w:rsidP="00742760">
            <w:pPr>
              <w:spacing w:after="200" w:line="276" w:lineRule="auto"/>
              <w:jc w:val="right"/>
              <w:rPr>
                <w:rFonts w:ascii="Times New Roman" w:hAnsi="Times New Roman" w:cs="Times New Roman"/>
                <w:b/>
                <w:sz w:val="20"/>
                <w:szCs w:val="20"/>
              </w:rPr>
            </w:pPr>
            <w:r>
              <w:rPr>
                <w:rFonts w:ascii="Times New Roman" w:hAnsi="Times New Roman" w:cs="Times New Roman"/>
                <w:b/>
                <w:sz w:val="20"/>
                <w:szCs w:val="20"/>
              </w:rPr>
              <w:t>SUMA PUNKTÓW MOŻLIWYCH DO UZYSKANIA:</w:t>
            </w:r>
          </w:p>
        </w:tc>
        <w:tc>
          <w:tcPr>
            <w:tcW w:w="3969" w:type="dxa"/>
            <w:tcBorders>
              <w:top w:val="single" w:sz="4" w:space="0" w:color="auto"/>
              <w:left w:val="single" w:sz="4" w:space="0" w:color="auto"/>
              <w:bottom w:val="single" w:sz="4" w:space="0" w:color="auto"/>
              <w:right w:val="single" w:sz="4" w:space="0" w:color="auto"/>
            </w:tcBorders>
            <w:hideMark/>
          </w:tcPr>
          <w:p w:rsidR="00E83F8D" w:rsidRDefault="00E83F8D" w:rsidP="00742760">
            <w:pPr>
              <w:rPr>
                <w:rFonts w:ascii="Times New Roman" w:hAnsi="Times New Roman" w:cs="Times New Roman"/>
                <w:b/>
                <w:sz w:val="20"/>
                <w:szCs w:val="20"/>
              </w:rPr>
            </w:pPr>
            <w:r>
              <w:rPr>
                <w:rFonts w:ascii="Times New Roman" w:hAnsi="Times New Roman" w:cs="Times New Roman"/>
                <w:b/>
                <w:sz w:val="20"/>
                <w:szCs w:val="20"/>
              </w:rPr>
              <w:t>Maksymalna ilość pkt. 42</w:t>
            </w:r>
          </w:p>
          <w:p w:rsidR="00E83F8D" w:rsidRDefault="00E83F8D" w:rsidP="00742760">
            <w:pPr>
              <w:rPr>
                <w:rFonts w:ascii="Times New Roman" w:hAnsi="Times New Roman" w:cs="Times New Roman"/>
                <w:sz w:val="20"/>
                <w:szCs w:val="20"/>
              </w:rPr>
            </w:pPr>
            <w:r>
              <w:rPr>
                <w:rFonts w:ascii="Times New Roman" w:hAnsi="Times New Roman" w:cs="Times New Roman"/>
                <w:b/>
                <w:sz w:val="20"/>
                <w:szCs w:val="20"/>
              </w:rPr>
              <w:t>Minimalna ilość pkt. 22</w:t>
            </w:r>
          </w:p>
        </w:tc>
        <w:tc>
          <w:tcPr>
            <w:tcW w:w="2693" w:type="dxa"/>
            <w:tcBorders>
              <w:top w:val="single" w:sz="4" w:space="0" w:color="auto"/>
              <w:left w:val="single" w:sz="4" w:space="0" w:color="auto"/>
              <w:bottom w:val="single" w:sz="4" w:space="0" w:color="auto"/>
              <w:right w:val="single" w:sz="4" w:space="0" w:color="auto"/>
            </w:tcBorders>
          </w:tcPr>
          <w:p w:rsidR="00E83F8D" w:rsidRDefault="00E83F8D" w:rsidP="00742760">
            <w:pPr>
              <w:spacing w:before="120"/>
              <w:jc w:val="center"/>
              <w:rPr>
                <w:rFonts w:ascii="Times New Roman" w:hAnsi="Times New Roman" w:cs="Times New Roman"/>
                <w:lang w:eastAsia="pl-PL"/>
              </w:rPr>
            </w:pPr>
          </w:p>
        </w:tc>
      </w:tr>
    </w:tbl>
    <w:p w:rsidR="00E83F8D" w:rsidRDefault="00E83F8D" w:rsidP="00E83F8D">
      <w:pPr>
        <w:spacing w:before="120" w:after="0"/>
        <w:jc w:val="center"/>
        <w:rPr>
          <w:rFonts w:ascii="Times New Roman" w:hAnsi="Times New Roman" w:cs="Times New Roman"/>
          <w:lang w:eastAsia="pl-PL"/>
        </w:rPr>
      </w:pPr>
    </w:p>
    <w:p w:rsidR="00E83F8D" w:rsidRDefault="00E83F8D" w:rsidP="00E83F8D">
      <w:pPr>
        <w:spacing w:before="120" w:after="0"/>
        <w:jc w:val="center"/>
        <w:rPr>
          <w:rFonts w:ascii="Times New Roman" w:hAnsi="Times New Roman" w:cs="Times New Roman"/>
          <w:lang w:eastAsia="pl-PL"/>
        </w:rPr>
      </w:pPr>
    </w:p>
    <w:p w:rsidR="00E83F8D" w:rsidRDefault="00E83F8D" w:rsidP="00E83F8D">
      <w:pPr>
        <w:spacing w:before="120" w:after="0"/>
        <w:jc w:val="center"/>
        <w:rPr>
          <w:rFonts w:ascii="Times New Roman" w:hAnsi="Times New Roman" w:cs="Times New Roman"/>
          <w:lang w:eastAsia="pl-PL"/>
        </w:rPr>
      </w:pPr>
    </w:p>
    <w:p w:rsidR="00E83F8D" w:rsidRDefault="00E83F8D" w:rsidP="00E83F8D">
      <w:pPr>
        <w:spacing w:before="120" w:after="0"/>
        <w:jc w:val="center"/>
        <w:rPr>
          <w:rFonts w:ascii="Times New Roman" w:hAnsi="Times New Roman" w:cs="Times New Roman"/>
          <w:lang w:eastAsia="pl-PL"/>
        </w:rPr>
      </w:pPr>
    </w:p>
    <w:p w:rsidR="00E83F8D" w:rsidRDefault="00E83F8D" w:rsidP="00E83F8D">
      <w:pPr>
        <w:spacing w:before="120" w:after="0"/>
        <w:jc w:val="center"/>
        <w:rPr>
          <w:rFonts w:ascii="Times New Roman" w:hAnsi="Times New Roman" w:cs="Times New Roman"/>
          <w:b/>
          <w:bCs/>
          <w:color w:val="365F91"/>
          <w:lang w:eastAsia="pl-PL"/>
        </w:rPr>
      </w:pPr>
    </w:p>
    <w:p w:rsidR="00E83F8D" w:rsidRDefault="00E83F8D" w:rsidP="00E83F8D">
      <w:pPr>
        <w:spacing w:after="0" w:line="240" w:lineRule="auto"/>
        <w:rPr>
          <w:rFonts w:ascii="Times New Roman" w:hAnsi="Times New Roman" w:cs="Times New Roman"/>
          <w:b/>
          <w:bCs/>
          <w:color w:val="365F91"/>
          <w:lang w:eastAsia="pl-PL"/>
        </w:rPr>
      </w:pPr>
    </w:p>
    <w:p w:rsidR="00E83F8D" w:rsidRPr="00151640" w:rsidRDefault="00E83F8D" w:rsidP="00E83F8D"/>
    <w:p w:rsidR="00B24A3B" w:rsidRPr="00151640" w:rsidRDefault="00B24A3B" w:rsidP="00B24A3B"/>
    <w:sectPr w:rsidR="00B24A3B"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9FF" w:rsidRDefault="009C69FF" w:rsidP="0028576F">
      <w:pPr>
        <w:spacing w:after="0" w:line="240" w:lineRule="auto"/>
      </w:pPr>
      <w:r>
        <w:separator/>
      </w:r>
    </w:p>
  </w:endnote>
  <w:endnote w:type="continuationSeparator" w:id="1">
    <w:p w:rsidR="009C69FF" w:rsidRDefault="009C69FF" w:rsidP="002857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EF" w:rsidRDefault="009040E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EF" w:rsidRDefault="009040EF">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EF" w:rsidRDefault="009040E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9FF" w:rsidRDefault="009C69FF" w:rsidP="0028576F">
      <w:pPr>
        <w:spacing w:after="0" w:line="240" w:lineRule="auto"/>
      </w:pPr>
      <w:r>
        <w:separator/>
      </w:r>
    </w:p>
  </w:footnote>
  <w:footnote w:type="continuationSeparator" w:id="1">
    <w:p w:rsidR="009C69FF" w:rsidRDefault="009C69FF" w:rsidP="002857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EF" w:rsidRDefault="009040EF">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EF" w:rsidRDefault="009040EF" w:rsidP="00E83F8D">
    <w:pPr>
      <w:pStyle w:val="Nagwek"/>
      <w:jc w:val="center"/>
    </w:pPr>
    <w:r w:rsidRPr="00C36F05">
      <w:rPr>
        <w:noProof/>
        <w:lang w:eastAsia="pl-PL"/>
      </w:rPr>
      <w:drawing>
        <wp:inline distT="0" distB="0" distL="0" distR="0">
          <wp:extent cx="5760720" cy="635572"/>
          <wp:effectExtent l="19050" t="0" r="0" b="0"/>
          <wp:docPr id="1"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cstate="print"/>
                  <a:srcRect/>
                  <a:stretch>
                    <a:fillRect/>
                  </a:stretch>
                </pic:blipFill>
                <pic:spPr bwMode="auto">
                  <a:xfrm>
                    <a:off x="0" y="0"/>
                    <a:ext cx="5760720" cy="635572"/>
                  </a:xfrm>
                  <a:prstGeom prst="rect">
                    <a:avLst/>
                  </a:prstGeom>
                  <a:noFill/>
                  <a:ln w="9525">
                    <a:noFill/>
                    <a:miter lim="800000"/>
                    <a:headEnd/>
                    <a:tailEnd/>
                  </a:ln>
                </pic:spPr>
              </pic:pic>
            </a:graphicData>
          </a:graphic>
        </wp:inline>
      </w:drawing>
    </w:r>
  </w:p>
  <w:p w:rsidR="009040EF" w:rsidRPr="00D0156A" w:rsidRDefault="009040EF" w:rsidP="009040EF">
    <w:pPr>
      <w:jc w:val="both"/>
      <w:rPr>
        <w:noProof/>
        <w:sz w:val="18"/>
        <w:szCs w:val="18"/>
      </w:rPr>
    </w:pPr>
    <w:r w:rsidRPr="00D0156A">
      <w:rPr>
        <w:sz w:val="18"/>
        <w:szCs w:val="18"/>
      </w:rPr>
      <w:t>„Europejski Fundusz Rolny na rzecz Rozwoju Obszarów Wiejskich: Europa inwestująca w obszary wiejskie”.</w:t>
    </w:r>
    <w:r w:rsidRPr="00D0156A">
      <w:rPr>
        <w:b/>
        <w:sz w:val="18"/>
        <w:szCs w:val="18"/>
      </w:rPr>
      <w:t xml:space="preserve"> </w:t>
    </w:r>
    <w:r w:rsidRPr="00D0156A">
      <w:rPr>
        <w:sz w:val="18"/>
        <w:szCs w:val="18"/>
      </w:rPr>
      <w:t>Instytucja zarządzająca Programem Rozwoju Obszarów Wiejskich na lata 2014-2020 - Minister Rolnictwa   i Rozwoju Wsi.</w:t>
    </w:r>
    <w:r w:rsidRPr="00D0156A">
      <w:rPr>
        <w:rFonts w:ascii="&amp;quot" w:hAnsi="&amp;quot"/>
        <w:color w:val="1A1A1A"/>
        <w:sz w:val="18"/>
        <w:szCs w:val="18"/>
      </w:rPr>
      <w:t xml:space="preserve"> </w:t>
    </w:r>
    <w:r w:rsidRPr="009040EF">
      <w:rPr>
        <w:rStyle w:val="Pogrubienie"/>
        <w:b w:val="0"/>
        <w:color w:val="1A1A1A"/>
        <w:sz w:val="18"/>
        <w:szCs w:val="18"/>
      </w:rPr>
      <w:t>"Europejski Fundusz Morski i Rybacki".</w:t>
    </w:r>
    <w:r w:rsidRPr="00C36F05">
      <w:rPr>
        <w:rStyle w:val="Pogrubienie"/>
        <w:color w:val="1A1A1A"/>
        <w:sz w:val="18"/>
        <w:szCs w:val="18"/>
      </w:rPr>
      <w:t xml:space="preserve"> </w:t>
    </w:r>
    <w:r w:rsidRPr="00D0156A">
      <w:rPr>
        <w:sz w:val="18"/>
        <w:szCs w:val="18"/>
      </w:rPr>
      <w:t>Instytucja zarządzająca Programem Operacyjnym Rybactwo i Morze - Minister Gospodarki Morskiej i Żeglugi Śródlądowej</w:t>
    </w:r>
  </w:p>
  <w:p w:rsidR="0007468B" w:rsidRDefault="0007468B">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EF" w:rsidRDefault="009040E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footnotePr>
    <w:footnote w:id="0"/>
    <w:footnote w:id="1"/>
  </w:footnotePr>
  <w:endnotePr>
    <w:endnote w:id="0"/>
    <w:endnote w:id="1"/>
  </w:endnotePr>
  <w:compat/>
  <w:rsids>
    <w:rsidRoot w:val="008976D7"/>
    <w:rsid w:val="00013CA8"/>
    <w:rsid w:val="00020FA9"/>
    <w:rsid w:val="00032151"/>
    <w:rsid w:val="00050E50"/>
    <w:rsid w:val="00062D9B"/>
    <w:rsid w:val="0007468B"/>
    <w:rsid w:val="000A53D5"/>
    <w:rsid w:val="000D68C4"/>
    <w:rsid w:val="001D3AAF"/>
    <w:rsid w:val="00281CE9"/>
    <w:rsid w:val="0028576F"/>
    <w:rsid w:val="002E39F2"/>
    <w:rsid w:val="002F13DB"/>
    <w:rsid w:val="0032646B"/>
    <w:rsid w:val="003C3D2C"/>
    <w:rsid w:val="003D2F36"/>
    <w:rsid w:val="00412837"/>
    <w:rsid w:val="00451078"/>
    <w:rsid w:val="00467108"/>
    <w:rsid w:val="0050436C"/>
    <w:rsid w:val="005B6C4E"/>
    <w:rsid w:val="005D6444"/>
    <w:rsid w:val="006B2C8F"/>
    <w:rsid w:val="007468FF"/>
    <w:rsid w:val="00767F34"/>
    <w:rsid w:val="0078117E"/>
    <w:rsid w:val="0078383D"/>
    <w:rsid w:val="007E0D91"/>
    <w:rsid w:val="008976D7"/>
    <w:rsid w:val="008B6E59"/>
    <w:rsid w:val="009040EF"/>
    <w:rsid w:val="0092723E"/>
    <w:rsid w:val="00982551"/>
    <w:rsid w:val="009C69FF"/>
    <w:rsid w:val="00AB0DAD"/>
    <w:rsid w:val="00AE7EF9"/>
    <w:rsid w:val="00B24A3B"/>
    <w:rsid w:val="00CD4E96"/>
    <w:rsid w:val="00D35751"/>
    <w:rsid w:val="00D41FC8"/>
    <w:rsid w:val="00DB3753"/>
    <w:rsid w:val="00DE29FD"/>
    <w:rsid w:val="00DE6B16"/>
    <w:rsid w:val="00E17C06"/>
    <w:rsid w:val="00E51A4F"/>
    <w:rsid w:val="00E83F8D"/>
    <w:rsid w:val="00F13C4C"/>
    <w:rsid w:val="00F262A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uiPriority w:val="99"/>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uiPriority w:val="99"/>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2F13DB"/>
    <w:pPr>
      <w:ind w:left="720"/>
      <w:contextualSpacing/>
    </w:pPr>
  </w:style>
  <w:style w:type="character" w:styleId="Pogrubienie">
    <w:name w:val="Strong"/>
    <w:basedOn w:val="Domylnaczcionkaakapitu"/>
    <w:uiPriority w:val="22"/>
    <w:qFormat/>
    <w:rsid w:val="009040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F13DB"/>
    <w:pPr>
      <w:ind w:left="720"/>
      <w:contextualSpacing/>
    </w:pPr>
  </w:style>
</w:styles>
</file>

<file path=word/webSettings.xml><?xml version="1.0" encoding="utf-8"?>
<w:webSettings xmlns:r="http://schemas.openxmlformats.org/officeDocument/2006/relationships" xmlns:w="http://schemas.openxmlformats.org/wordprocessingml/2006/main">
  <w:divs>
    <w:div w:id="14056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14CDB-9788-4BB7-8A21-0E545BDA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1543</Words>
  <Characters>9264</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7</cp:revision>
  <cp:lastPrinted>2017-02-15T09:15:00Z</cp:lastPrinted>
  <dcterms:created xsi:type="dcterms:W3CDTF">2017-02-15T09:16:00Z</dcterms:created>
  <dcterms:modified xsi:type="dcterms:W3CDTF">2018-04-23T15:19:00Z</dcterms:modified>
</cp:coreProperties>
</file>