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BD2936">
        <w:rPr>
          <w:rFonts w:ascii="Times New Roman" w:hAnsi="Times New Roman"/>
          <w:b/>
        </w:rPr>
        <w:t>7</w:t>
      </w:r>
      <w:r w:rsidRPr="00DE29FD">
        <w:rPr>
          <w:rFonts w:ascii="Times New Roman" w:hAnsi="Times New Roman"/>
          <w:b/>
        </w:rPr>
        <w:t>/20</w:t>
      </w:r>
      <w:r w:rsidR="008152C9">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9472E6"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Rozwijanie działalności gospodarczej</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 xml:space="preserve">(*NIE DOTYCZY </w:t>
      </w:r>
      <w:r w:rsidR="008152C9">
        <w:rPr>
          <w:rFonts w:ascii="Times New Roman" w:hAnsi="Times New Roman" w:cs="Times New Roman"/>
          <w:b/>
          <w:lang w:eastAsia="pl-PL"/>
        </w:rPr>
        <w:t>Rozwijania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823BB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F2F2F2" w:themeFill="background1" w:themeFillShade="F2"/>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hideMark/>
          </w:tcPr>
          <w:p w:rsidR="00823BB7" w:rsidRDefault="00823BB7" w:rsidP="00211249">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823BB7" w:rsidRDefault="00823BB7" w:rsidP="00211249">
            <w:pPr>
              <w:tabs>
                <w:tab w:val="left" w:pos="0"/>
              </w:tabs>
              <w:spacing w:after="0" w:line="240" w:lineRule="auto"/>
              <w:rPr>
                <w:rFonts w:ascii="Verdana" w:hAnsi="Verdana" w:cs="Verdana"/>
                <w:sz w:val="20"/>
                <w:szCs w:val="20"/>
              </w:rPr>
            </w:pPr>
            <w:r>
              <w:rPr>
                <w:rFonts w:ascii="Verdana" w:hAnsi="Verdana" w:cs="Verdana"/>
                <w:sz w:val="20"/>
                <w:szCs w:val="20"/>
              </w:rPr>
              <w:t xml:space="preserve">7 </w:t>
            </w:r>
            <w:proofErr w:type="spellStart"/>
            <w:r>
              <w:rPr>
                <w:rFonts w:ascii="Verdana" w:hAnsi="Verdana" w:cs="Verdana"/>
                <w:sz w:val="20"/>
                <w:szCs w:val="20"/>
              </w:rPr>
              <w:t>pkt</w:t>
            </w:r>
            <w:proofErr w:type="spellEnd"/>
            <w:r>
              <w:rPr>
                <w:rFonts w:ascii="Verdana" w:hAnsi="Verdana" w:cs="Verdana"/>
                <w:sz w:val="20"/>
                <w:szCs w:val="20"/>
              </w:rPr>
              <w:t xml:space="preserve"> - powyżej 2.50</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6 </w:t>
            </w:r>
            <w:proofErr w:type="spellStart"/>
            <w:r>
              <w:rPr>
                <w:rFonts w:ascii="Verdana" w:hAnsi="Verdana" w:cs="Verdana"/>
                <w:sz w:val="20"/>
                <w:szCs w:val="20"/>
              </w:rPr>
              <w:t>pkt</w:t>
            </w:r>
            <w:proofErr w:type="spellEnd"/>
            <w:r>
              <w:rPr>
                <w:rFonts w:ascii="Verdana" w:hAnsi="Verdana" w:cs="Verdana"/>
                <w:sz w:val="20"/>
                <w:szCs w:val="20"/>
              </w:rPr>
              <w:t xml:space="preserve"> - w ilości powyżej 2.00 do 2.50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5 </w:t>
            </w:r>
            <w:proofErr w:type="spellStart"/>
            <w:r>
              <w:rPr>
                <w:rFonts w:ascii="Verdana" w:hAnsi="Verdana" w:cs="Verdana"/>
                <w:sz w:val="20"/>
                <w:szCs w:val="20"/>
              </w:rPr>
              <w:t>pkt</w:t>
            </w:r>
            <w:proofErr w:type="spellEnd"/>
            <w:r>
              <w:rPr>
                <w:rFonts w:ascii="Verdana" w:hAnsi="Verdana" w:cs="Verdana"/>
                <w:sz w:val="20"/>
                <w:szCs w:val="20"/>
              </w:rPr>
              <w:t xml:space="preserve"> - w ilości powyżej 1.50 do 2.00</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4 </w:t>
            </w:r>
            <w:proofErr w:type="spellStart"/>
            <w:r>
              <w:rPr>
                <w:rFonts w:ascii="Verdana" w:hAnsi="Verdana" w:cs="Verdana"/>
                <w:sz w:val="20"/>
                <w:szCs w:val="20"/>
              </w:rPr>
              <w:t>pkt</w:t>
            </w:r>
            <w:proofErr w:type="spellEnd"/>
            <w:r>
              <w:rPr>
                <w:rFonts w:ascii="Verdana" w:hAnsi="Verdana" w:cs="Verdana"/>
                <w:sz w:val="20"/>
                <w:szCs w:val="20"/>
              </w:rPr>
              <w:t xml:space="preserve"> - w ilości powyżej 1.00 do 1.50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3 </w:t>
            </w:r>
            <w:proofErr w:type="spellStart"/>
            <w:r>
              <w:rPr>
                <w:rFonts w:ascii="Verdana" w:hAnsi="Verdana" w:cs="Verdana"/>
                <w:sz w:val="20"/>
                <w:szCs w:val="20"/>
              </w:rPr>
              <w:t>pkt</w:t>
            </w:r>
            <w:proofErr w:type="spellEnd"/>
            <w:r>
              <w:rPr>
                <w:rFonts w:ascii="Verdana" w:hAnsi="Verdana" w:cs="Verdana"/>
                <w:sz w:val="20"/>
                <w:szCs w:val="20"/>
              </w:rPr>
              <w:t xml:space="preserve"> - w ilości powyżej 0.50 do 1.00</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r>
              <w:rPr>
                <w:rFonts w:ascii="Verdana" w:hAnsi="Verdana"/>
                <w:b/>
                <w:sz w:val="16"/>
                <w:szCs w:val="16"/>
              </w:rPr>
              <w:t>D</w:t>
            </w:r>
            <w:r>
              <w:rPr>
                <w:rFonts w:ascii="Verdana" w:hAnsi="Verdana" w:cs="Verdana"/>
                <w:b/>
                <w:sz w:val="16"/>
                <w:szCs w:val="16"/>
              </w:rPr>
              <w:t>OTYCZY PRZEDSIĘWZIĘCIA</w:t>
            </w:r>
          </w:p>
        </w:tc>
      </w:tr>
    </w:tbl>
    <w:p w:rsidR="00823BB7" w:rsidRDefault="00823BB7" w:rsidP="00823BB7">
      <w:pPr>
        <w:spacing w:before="120" w:after="0"/>
        <w:rPr>
          <w:rFonts w:ascii="Verdana" w:hAnsi="Verdana" w:cs="Verdana"/>
          <w:b/>
          <w:bCs/>
          <w:color w:val="365F91"/>
          <w:sz w:val="20"/>
          <w:szCs w:val="20"/>
          <w:lang w:eastAsia="pl-PL"/>
        </w:rPr>
      </w:pPr>
    </w:p>
    <w:p w:rsidR="00823BB7" w:rsidRDefault="00823BB7" w:rsidP="00823BB7">
      <w:pPr>
        <w:spacing w:before="120" w:after="0"/>
        <w:rPr>
          <w:rFonts w:ascii="Verdana" w:hAnsi="Verdana" w:cs="Verdana"/>
          <w:b/>
          <w:bCs/>
          <w:color w:val="365F91"/>
          <w:sz w:val="20"/>
          <w:szCs w:val="20"/>
          <w:lang w:eastAsia="pl-PL"/>
        </w:rPr>
      </w:pPr>
    </w:p>
    <w:p w:rsidR="00823BB7" w:rsidRDefault="00823BB7" w:rsidP="00823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823BB7" w:rsidRDefault="00823BB7" w:rsidP="00823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823BB7" w:rsidRDefault="00823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823BB7" w:rsidRDefault="00823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Pr>
              <w:spacing w:after="0" w:line="240" w:lineRule="auto"/>
              <w:rPr>
                <w:b/>
              </w:rPr>
            </w:pPr>
          </w:p>
        </w:tc>
      </w:tr>
    </w:tbl>
    <w:p w:rsidR="00823BB7" w:rsidRDefault="00823BB7" w:rsidP="00823BB7"/>
    <w:tbl>
      <w:tblPr>
        <w:tblW w:w="14280" w:type="dxa"/>
        <w:tblInd w:w="-128" w:type="dxa"/>
        <w:tblLayout w:type="fixed"/>
        <w:tblCellMar>
          <w:left w:w="0" w:type="dxa"/>
          <w:right w:w="0" w:type="dxa"/>
        </w:tblCellMar>
        <w:tblLook w:val="04A0"/>
      </w:tblPr>
      <w:tblGrid>
        <w:gridCol w:w="2431"/>
        <w:gridCol w:w="5191"/>
        <w:gridCol w:w="397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823BB7" w:rsidRDefault="00823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823BB7" w:rsidRDefault="00823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tblPr>
      <w:tblGrid>
        <w:gridCol w:w="2431"/>
        <w:gridCol w:w="5191"/>
        <w:gridCol w:w="30"/>
        <w:gridCol w:w="394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 xml:space="preserve">10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dwie grupy defaworyzowane.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jedną z dwóch grup defaworyzowanych.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823BB7" w:rsidRDefault="00823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823BB7" w:rsidRDefault="00823BB7" w:rsidP="00211249">
            <w:pPr>
              <w:spacing w:after="0" w:line="240" w:lineRule="auto"/>
            </w:pP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r>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t>
            </w:r>
            <w:r>
              <w:rPr>
                <w:rFonts w:ascii="Verdana" w:hAnsi="Verdana" w:cs="Verdana"/>
                <w:sz w:val="20"/>
                <w:szCs w:val="20"/>
              </w:rPr>
              <w:lastRenderedPageBreak/>
              <w:t>„Wsparcie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 w:rsidR="00823BB7" w:rsidRDefault="00823BB7" w:rsidP="00211249">
            <w:pPr>
              <w:rPr>
                <w:color w:val="FF0000"/>
              </w:rPr>
            </w:pPr>
            <w:r>
              <w:rPr>
                <w:rFonts w:ascii="Verdana" w:hAnsi="Verdana" w:cs="Verdana"/>
                <w:b/>
                <w:sz w:val="20"/>
                <w:szCs w:val="20"/>
              </w:rPr>
              <w:t xml:space="preserve"> </w:t>
            </w:r>
          </w:p>
          <w:p w:rsidR="00823BB7" w:rsidRDefault="00823BB7" w:rsidP="00211249">
            <w:pPr>
              <w:ind w:firstLine="708"/>
            </w:pPr>
          </w:p>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p w:rsidR="00823BB7" w:rsidRDefault="00823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tblPr>
      <w:tblGrid>
        <w:gridCol w:w="15"/>
        <w:gridCol w:w="2416"/>
        <w:gridCol w:w="15"/>
        <w:gridCol w:w="5176"/>
        <w:gridCol w:w="30"/>
        <w:gridCol w:w="3940"/>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a wykazanym jako komplementarnym projektem/ przedsięwzięciem. Ocenie podlegała będzie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 wzmacnianie EFEKTÓW projektów/ </w:t>
            </w:r>
            <w:r>
              <w:rPr>
                <w:rFonts w:ascii="Verdana" w:hAnsi="Verdana" w:cs="Verdana"/>
                <w:sz w:val="20"/>
                <w:szCs w:val="20"/>
              </w:rPr>
              <w:lastRenderedPageBreak/>
              <w:t>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w:t>
            </w:r>
            <w:r>
              <w:rPr>
                <w:rFonts w:ascii="Verdana" w:hAnsi="Verdana" w:cs="Verdana"/>
                <w:sz w:val="20"/>
                <w:szCs w:val="20"/>
              </w:rPr>
              <w:lastRenderedPageBreak/>
              <w:t xml:space="preserve">komplementarnych </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823BB7" w:rsidRDefault="00823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823BB7" w:rsidRDefault="00823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46 pkt. </w:t>
            </w:r>
          </w:p>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t>Minimalna ilość 24 pkt.</w:t>
            </w:r>
          </w:p>
        </w:tc>
      </w:tr>
    </w:tbl>
    <w:p w:rsidR="00823BB7" w:rsidRPr="00636AD3" w:rsidRDefault="00823BB7" w:rsidP="00823BB7">
      <w:pPr>
        <w:spacing w:before="120" w:after="0"/>
        <w:jc w:val="center"/>
        <w:rPr>
          <w:rFonts w:ascii="Times New Roman" w:hAnsi="Times New Roman" w:cs="Times New Roman"/>
          <w:b/>
          <w:bCs/>
          <w:color w:val="365F91"/>
          <w:sz w:val="16"/>
          <w:szCs w:val="16"/>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A7E" w:rsidRDefault="00810A7E" w:rsidP="0028576F">
      <w:pPr>
        <w:spacing w:after="0" w:line="240" w:lineRule="auto"/>
      </w:pPr>
      <w:r>
        <w:separator/>
      </w:r>
    </w:p>
  </w:endnote>
  <w:endnote w:type="continuationSeparator" w:id="0">
    <w:p w:rsidR="00810A7E" w:rsidRDefault="00810A7E"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A7E" w:rsidRDefault="00810A7E" w:rsidP="0028576F">
      <w:pPr>
        <w:spacing w:after="0" w:line="240" w:lineRule="auto"/>
      </w:pPr>
      <w:r>
        <w:separator/>
      </w:r>
    </w:p>
  </w:footnote>
  <w:footnote w:type="continuationSeparator" w:id="0">
    <w:p w:rsidR="00810A7E" w:rsidRDefault="00810A7E"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68C4"/>
    <w:rsid w:val="00156C69"/>
    <w:rsid w:val="00181A2C"/>
    <w:rsid w:val="001D3AAF"/>
    <w:rsid w:val="00226DD8"/>
    <w:rsid w:val="0023198C"/>
    <w:rsid w:val="002636E1"/>
    <w:rsid w:val="0027218D"/>
    <w:rsid w:val="00281CE9"/>
    <w:rsid w:val="0028576F"/>
    <w:rsid w:val="002E39F2"/>
    <w:rsid w:val="00344983"/>
    <w:rsid w:val="003D2F36"/>
    <w:rsid w:val="00451078"/>
    <w:rsid w:val="004569E8"/>
    <w:rsid w:val="00462644"/>
    <w:rsid w:val="00495FC6"/>
    <w:rsid w:val="00521866"/>
    <w:rsid w:val="00524D72"/>
    <w:rsid w:val="00597C68"/>
    <w:rsid w:val="005B6C4E"/>
    <w:rsid w:val="005D6444"/>
    <w:rsid w:val="00640E14"/>
    <w:rsid w:val="006B2C8F"/>
    <w:rsid w:val="006C19F1"/>
    <w:rsid w:val="0078117E"/>
    <w:rsid w:val="0078383D"/>
    <w:rsid w:val="007E0D91"/>
    <w:rsid w:val="00810A7E"/>
    <w:rsid w:val="008152C9"/>
    <w:rsid w:val="00823BB7"/>
    <w:rsid w:val="008976D7"/>
    <w:rsid w:val="008A4805"/>
    <w:rsid w:val="008B6E59"/>
    <w:rsid w:val="008C6147"/>
    <w:rsid w:val="008F5074"/>
    <w:rsid w:val="00904158"/>
    <w:rsid w:val="0092723E"/>
    <w:rsid w:val="009472E6"/>
    <w:rsid w:val="00960840"/>
    <w:rsid w:val="0097610B"/>
    <w:rsid w:val="00982551"/>
    <w:rsid w:val="009E1DAE"/>
    <w:rsid w:val="009F3AC2"/>
    <w:rsid w:val="00A614F4"/>
    <w:rsid w:val="00AE2802"/>
    <w:rsid w:val="00AE2D6B"/>
    <w:rsid w:val="00B66BE8"/>
    <w:rsid w:val="00BB2B96"/>
    <w:rsid w:val="00BD2936"/>
    <w:rsid w:val="00BE3DC9"/>
    <w:rsid w:val="00C11687"/>
    <w:rsid w:val="00CC5AA6"/>
    <w:rsid w:val="00CC7491"/>
    <w:rsid w:val="00CD76C7"/>
    <w:rsid w:val="00D35751"/>
    <w:rsid w:val="00D4464D"/>
    <w:rsid w:val="00D55A7E"/>
    <w:rsid w:val="00D83C1D"/>
    <w:rsid w:val="00DE29FD"/>
    <w:rsid w:val="00DE5051"/>
    <w:rsid w:val="00E1614D"/>
    <w:rsid w:val="00E51A4F"/>
    <w:rsid w:val="00E8677A"/>
    <w:rsid w:val="00EC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3366-5D16-4B17-AE57-AFE539E1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1736</Words>
  <Characters>10421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8</cp:revision>
  <cp:lastPrinted>2019-04-11T08:36:00Z</cp:lastPrinted>
  <dcterms:created xsi:type="dcterms:W3CDTF">2019-04-29T10:30:00Z</dcterms:created>
  <dcterms:modified xsi:type="dcterms:W3CDTF">2020-07-23T09:42:00Z</dcterms:modified>
</cp:coreProperties>
</file>